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BE479B" w14:textId="77777777" w:rsidR="001E66D7" w:rsidRDefault="001E66D7" w:rsidP="00312E4C">
      <w:pPr>
        <w:rPr>
          <w:b/>
          <w:sz w:val="28"/>
          <w:szCs w:val="28"/>
        </w:rPr>
      </w:pPr>
    </w:p>
    <w:p w14:paraId="46CDE930" w14:textId="5F57CA81" w:rsidR="00312E4C" w:rsidRPr="00A825FE" w:rsidRDefault="00312E4C" w:rsidP="00312E4C">
      <w:pPr>
        <w:rPr>
          <w:color w:val="244061" w:themeColor="accent1" w:themeShade="80"/>
          <w:sz w:val="28"/>
          <w:szCs w:val="28"/>
        </w:rPr>
      </w:pPr>
      <w:r w:rsidRPr="00911CDB">
        <w:rPr>
          <w:b/>
          <w:color w:val="244061" w:themeColor="accent1" w:themeShade="80"/>
          <w:sz w:val="28"/>
          <w:szCs w:val="28"/>
        </w:rPr>
        <w:t xml:space="preserve">Titre de la </w:t>
      </w:r>
      <w:r w:rsidR="00D43DEC" w:rsidRPr="00911CDB">
        <w:rPr>
          <w:b/>
          <w:color w:val="244061" w:themeColor="accent1" w:themeShade="80"/>
          <w:sz w:val="28"/>
          <w:szCs w:val="28"/>
        </w:rPr>
        <w:t>présentation</w:t>
      </w:r>
      <w:r w:rsidR="00A825FE">
        <w:rPr>
          <w:b/>
          <w:color w:val="244061" w:themeColor="accent1" w:themeShade="80"/>
          <w:sz w:val="28"/>
          <w:szCs w:val="28"/>
        </w:rPr>
        <w:t> :</w:t>
      </w:r>
      <w:r w:rsidR="00A825FE">
        <w:rPr>
          <w:color w:val="244061" w:themeColor="accent1" w:themeShade="80"/>
          <w:sz w:val="28"/>
          <w:szCs w:val="28"/>
        </w:rPr>
        <w:t xml:space="preserve"> </w:t>
      </w:r>
      <w:r w:rsidR="00A825FE" w:rsidRPr="00A825FE">
        <w:rPr>
          <w:sz w:val="24"/>
        </w:rPr>
        <w:t>De la perception du risque d’inondation des populations côtières aux leviers d’adaptation : enquête pluridisciplinaire au sein de la communauté urbaine de Dunkerque</w:t>
      </w:r>
    </w:p>
    <w:p w14:paraId="6477B525" w14:textId="77777777" w:rsidR="003651AE" w:rsidRPr="00911CDB" w:rsidRDefault="00623AA3" w:rsidP="00312E4C">
      <w:pPr>
        <w:rPr>
          <w:b/>
          <w:color w:val="244061" w:themeColor="accent1" w:themeShade="80"/>
          <w:sz w:val="24"/>
          <w:szCs w:val="24"/>
        </w:rPr>
      </w:pPr>
      <w:r w:rsidRPr="00911CDB">
        <w:rPr>
          <w:b/>
          <w:color w:val="244061" w:themeColor="accent1" w:themeShade="80"/>
          <w:sz w:val="24"/>
          <w:szCs w:val="24"/>
        </w:rPr>
        <w:t>Nom</w:t>
      </w:r>
      <w:r w:rsidR="003651AE">
        <w:rPr>
          <w:b/>
          <w:color w:val="244061" w:themeColor="accent1" w:themeShade="80"/>
          <w:sz w:val="24"/>
          <w:szCs w:val="24"/>
        </w:rPr>
        <w:t xml:space="preserve"> : </w:t>
      </w:r>
      <w:r w:rsidR="003651AE" w:rsidRPr="00A825FE">
        <w:rPr>
          <w:bCs/>
          <w:color w:val="000000" w:themeColor="text1"/>
          <w:sz w:val="24"/>
          <w:szCs w:val="24"/>
        </w:rPr>
        <w:t>Verlynde</w:t>
      </w:r>
    </w:p>
    <w:p w14:paraId="5F6D3D0F" w14:textId="77777777" w:rsidR="00623AA3" w:rsidRPr="00911CDB" w:rsidRDefault="00623AA3" w:rsidP="00312E4C">
      <w:pPr>
        <w:rPr>
          <w:b/>
          <w:color w:val="244061" w:themeColor="accent1" w:themeShade="80"/>
          <w:sz w:val="24"/>
          <w:szCs w:val="24"/>
        </w:rPr>
      </w:pPr>
      <w:r w:rsidRPr="00911CDB">
        <w:rPr>
          <w:b/>
          <w:color w:val="244061" w:themeColor="accent1" w:themeShade="80"/>
          <w:sz w:val="24"/>
          <w:szCs w:val="24"/>
        </w:rPr>
        <w:t>Prénom</w:t>
      </w:r>
      <w:r w:rsidR="003651AE">
        <w:rPr>
          <w:b/>
          <w:color w:val="244061" w:themeColor="accent1" w:themeShade="80"/>
          <w:sz w:val="24"/>
          <w:szCs w:val="24"/>
        </w:rPr>
        <w:t xml:space="preserve"> : </w:t>
      </w:r>
      <w:r w:rsidR="003651AE" w:rsidRPr="00A825FE">
        <w:rPr>
          <w:bCs/>
          <w:color w:val="000000" w:themeColor="text1"/>
          <w:sz w:val="24"/>
          <w:szCs w:val="24"/>
        </w:rPr>
        <w:t>Nicolas</w:t>
      </w:r>
    </w:p>
    <w:p w14:paraId="7CCC4282" w14:textId="77777777" w:rsidR="002E3637" w:rsidRPr="003651AE" w:rsidRDefault="002E3637" w:rsidP="00312E4C">
      <w:pPr>
        <w:rPr>
          <w:sz w:val="28"/>
        </w:rPr>
      </w:pPr>
      <w:r w:rsidRPr="00911CDB">
        <w:rPr>
          <w:b/>
          <w:color w:val="244061" w:themeColor="accent1" w:themeShade="80"/>
          <w:sz w:val="24"/>
          <w:szCs w:val="24"/>
        </w:rPr>
        <w:t>Titre de la thèse</w:t>
      </w:r>
      <w:r w:rsidR="003651AE">
        <w:rPr>
          <w:b/>
          <w:color w:val="244061" w:themeColor="accent1" w:themeShade="80"/>
          <w:sz w:val="24"/>
          <w:szCs w:val="24"/>
        </w:rPr>
        <w:t xml:space="preserve"> : </w:t>
      </w:r>
      <w:r w:rsidR="003651AE" w:rsidRPr="00A825FE">
        <w:rPr>
          <w:sz w:val="24"/>
        </w:rPr>
        <w:t>De la perception du risque d’inondation aux propositions d’adaptation en territoire de côtes basses densément peuplées : le cas de la communauté urbaine de Dunkerque</w:t>
      </w:r>
    </w:p>
    <w:p w14:paraId="4320822B" w14:textId="77777777" w:rsidR="00E96C3B" w:rsidRDefault="00E96C3B" w:rsidP="00312E4C">
      <w:pPr>
        <w:rPr>
          <w:b/>
          <w:color w:val="244061" w:themeColor="accent1" w:themeShade="80"/>
          <w:sz w:val="24"/>
          <w:szCs w:val="24"/>
        </w:rPr>
      </w:pPr>
      <w:r>
        <w:rPr>
          <w:b/>
          <w:color w:val="244061" w:themeColor="accent1" w:themeShade="80"/>
          <w:sz w:val="24"/>
          <w:szCs w:val="24"/>
        </w:rPr>
        <w:t>Discipline(s)</w:t>
      </w:r>
      <w:r w:rsidR="003651AE">
        <w:rPr>
          <w:b/>
          <w:color w:val="244061" w:themeColor="accent1" w:themeShade="80"/>
          <w:sz w:val="24"/>
          <w:szCs w:val="24"/>
        </w:rPr>
        <w:t xml:space="preserve"> : </w:t>
      </w:r>
      <w:r w:rsidR="003651AE" w:rsidRPr="00A825FE">
        <w:rPr>
          <w:sz w:val="24"/>
        </w:rPr>
        <w:t>Géographie</w:t>
      </w:r>
    </w:p>
    <w:p w14:paraId="512E78B9" w14:textId="77777777" w:rsidR="00623AA3" w:rsidRPr="000968B3" w:rsidRDefault="00623AA3" w:rsidP="00312E4C">
      <w:pPr>
        <w:rPr>
          <w:sz w:val="24"/>
        </w:rPr>
      </w:pPr>
      <w:r w:rsidRPr="00911CDB">
        <w:rPr>
          <w:b/>
          <w:color w:val="244061" w:themeColor="accent1" w:themeShade="80"/>
          <w:sz w:val="24"/>
          <w:szCs w:val="24"/>
        </w:rPr>
        <w:t>Directeur –trice de thèse</w:t>
      </w:r>
      <w:r w:rsidR="003651AE">
        <w:rPr>
          <w:b/>
          <w:color w:val="244061" w:themeColor="accent1" w:themeShade="80"/>
          <w:sz w:val="24"/>
          <w:szCs w:val="24"/>
        </w:rPr>
        <w:t xml:space="preserve"> : </w:t>
      </w:r>
      <w:r w:rsidR="003651AE" w:rsidRPr="000968B3">
        <w:rPr>
          <w:sz w:val="24"/>
        </w:rPr>
        <w:t>Hervé Flanquart (directeur) – Antoine Le Blanc (co-directeur)</w:t>
      </w:r>
    </w:p>
    <w:p w14:paraId="7EDA2785" w14:textId="77777777" w:rsidR="00623AA3" w:rsidRPr="000968B3" w:rsidRDefault="00623AA3" w:rsidP="00312E4C">
      <w:pPr>
        <w:rPr>
          <w:sz w:val="24"/>
        </w:rPr>
      </w:pPr>
      <w:r w:rsidRPr="00911CDB">
        <w:rPr>
          <w:b/>
          <w:color w:val="244061" w:themeColor="accent1" w:themeShade="80"/>
          <w:sz w:val="24"/>
          <w:szCs w:val="24"/>
        </w:rPr>
        <w:t>Financement de la thèse</w:t>
      </w:r>
      <w:r w:rsidR="003651AE">
        <w:rPr>
          <w:b/>
          <w:color w:val="244061" w:themeColor="accent1" w:themeShade="80"/>
          <w:sz w:val="24"/>
          <w:szCs w:val="24"/>
        </w:rPr>
        <w:t xml:space="preserve"> : </w:t>
      </w:r>
      <w:r w:rsidR="003651AE" w:rsidRPr="000968B3">
        <w:rPr>
          <w:sz w:val="24"/>
        </w:rPr>
        <w:t>Région Hauts-de-France et Pôle Métropolitain de la Côte d’Opale</w:t>
      </w:r>
    </w:p>
    <w:p w14:paraId="122B231D" w14:textId="77777777" w:rsidR="002E3637" w:rsidRPr="000968B3" w:rsidRDefault="002E3637" w:rsidP="00312E4C">
      <w:pPr>
        <w:rPr>
          <w:sz w:val="24"/>
        </w:rPr>
      </w:pPr>
      <w:r w:rsidRPr="00911CDB">
        <w:rPr>
          <w:b/>
          <w:color w:val="244061" w:themeColor="accent1" w:themeShade="80"/>
          <w:sz w:val="24"/>
          <w:szCs w:val="24"/>
        </w:rPr>
        <w:t>Date d’inscription en thèse</w:t>
      </w:r>
      <w:r w:rsidR="003651AE">
        <w:rPr>
          <w:b/>
          <w:color w:val="244061" w:themeColor="accent1" w:themeShade="80"/>
          <w:sz w:val="24"/>
          <w:szCs w:val="24"/>
        </w:rPr>
        <w:t xml:space="preserve"> : </w:t>
      </w:r>
      <w:r w:rsidR="003651AE" w:rsidRPr="000968B3">
        <w:rPr>
          <w:sz w:val="24"/>
        </w:rPr>
        <w:t>15/10/2014 (soutenue le 23/11/2018)</w:t>
      </w:r>
    </w:p>
    <w:p w14:paraId="1BEEC483" w14:textId="77777777" w:rsidR="00312E4C" w:rsidRPr="00911CDB" w:rsidRDefault="00F73FBD" w:rsidP="00312E4C">
      <w:pPr>
        <w:rPr>
          <w:b/>
          <w:color w:val="244061" w:themeColor="accent1" w:themeShade="80"/>
          <w:sz w:val="24"/>
          <w:szCs w:val="24"/>
        </w:rPr>
      </w:pPr>
      <w:r w:rsidRPr="00911CDB">
        <w:rPr>
          <w:b/>
          <w:color w:val="244061" w:themeColor="accent1" w:themeShade="80"/>
          <w:sz w:val="24"/>
          <w:szCs w:val="24"/>
        </w:rPr>
        <w:t>Organismes et adresses (mai</w:t>
      </w:r>
      <w:r w:rsidR="00312E4C" w:rsidRPr="00911CDB">
        <w:rPr>
          <w:b/>
          <w:color w:val="244061" w:themeColor="accent1" w:themeShade="80"/>
          <w:sz w:val="24"/>
          <w:szCs w:val="24"/>
        </w:rPr>
        <w:t>ls)</w:t>
      </w:r>
      <w:r w:rsidR="003651AE">
        <w:rPr>
          <w:b/>
          <w:color w:val="244061" w:themeColor="accent1" w:themeShade="80"/>
          <w:sz w:val="24"/>
          <w:szCs w:val="24"/>
        </w:rPr>
        <w:t xml:space="preserve"> : </w:t>
      </w:r>
      <w:r w:rsidR="003651AE" w:rsidRPr="000968B3">
        <w:rPr>
          <w:sz w:val="24"/>
        </w:rPr>
        <w:t>Université du Littoral Côte d’Opale ; Maison de la Recherche en Sciences Humaines (Dunkerque)</w:t>
      </w:r>
    </w:p>
    <w:p w14:paraId="31F5992D" w14:textId="77777777" w:rsidR="00312E4C" w:rsidRPr="00911CDB" w:rsidRDefault="00312E4C" w:rsidP="00312E4C"/>
    <w:p w14:paraId="3602270B" w14:textId="77777777" w:rsidR="00F73FBD" w:rsidRPr="00911CDB" w:rsidRDefault="00F73FBD" w:rsidP="00312E4C">
      <w:pPr>
        <w:rPr>
          <w:color w:val="244061" w:themeColor="accent1" w:themeShade="80"/>
          <w:sz w:val="28"/>
          <w:szCs w:val="28"/>
        </w:rPr>
      </w:pPr>
      <w:r w:rsidRPr="00911CDB">
        <w:rPr>
          <w:b/>
          <w:color w:val="244061" w:themeColor="accent1" w:themeShade="80"/>
          <w:sz w:val="28"/>
          <w:szCs w:val="28"/>
        </w:rPr>
        <w:t>Format de présentation</w:t>
      </w:r>
    </w:p>
    <w:p w14:paraId="0BA0A6B8" w14:textId="77777777" w:rsidR="00312E4C" w:rsidRPr="00911CDB" w:rsidRDefault="00D33601" w:rsidP="00F73FBD">
      <w:pPr>
        <w:tabs>
          <w:tab w:val="left" w:pos="735"/>
        </w:tabs>
        <w:spacing w:after="0"/>
        <w:ind w:left="708"/>
      </w:pPr>
      <w:sdt>
        <w:sdtPr>
          <w:id w:val="28138915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651AE">
            <w:rPr>
              <w:rFonts w:ascii="MS Gothic" w:eastAsia="MS Gothic" w:hAnsi="MS Gothic" w:hint="eastAsia"/>
            </w:rPr>
            <w:t>☒</w:t>
          </w:r>
        </w:sdtContent>
      </w:sdt>
      <w:r w:rsidR="00F73FBD" w:rsidRPr="00911CDB">
        <w:tab/>
        <w:t>Communication orale (15 minutes)</w:t>
      </w:r>
    </w:p>
    <w:p w14:paraId="2D288C87" w14:textId="77777777" w:rsidR="00F73FBD" w:rsidRPr="00911CDB" w:rsidRDefault="00D33601" w:rsidP="00F73FBD">
      <w:pPr>
        <w:tabs>
          <w:tab w:val="left" w:pos="735"/>
        </w:tabs>
        <w:spacing w:after="0"/>
        <w:ind w:left="708"/>
      </w:pPr>
      <w:sdt>
        <w:sdtPr>
          <w:id w:val="1940444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51AE">
            <w:rPr>
              <w:rFonts w:ascii="MS Gothic" w:eastAsia="MS Gothic" w:hAnsi="MS Gothic" w:hint="eastAsia"/>
            </w:rPr>
            <w:t>☐</w:t>
          </w:r>
        </w:sdtContent>
      </w:sdt>
      <w:r w:rsidR="00F73FBD" w:rsidRPr="00911CDB">
        <w:tab/>
        <w:t xml:space="preserve">Poster </w:t>
      </w:r>
      <w:r w:rsidR="00BA43D7" w:rsidRPr="00872D90">
        <w:t>(format A0)</w:t>
      </w:r>
    </w:p>
    <w:p w14:paraId="07A3ECEA" w14:textId="4B59A8D9" w:rsidR="00F73FBD" w:rsidRPr="00911CDB" w:rsidRDefault="00D33601" w:rsidP="00F73FBD">
      <w:pPr>
        <w:tabs>
          <w:tab w:val="left" w:pos="735"/>
        </w:tabs>
        <w:spacing w:after="0"/>
        <w:ind w:left="708"/>
      </w:pPr>
      <w:sdt>
        <w:sdtPr>
          <w:id w:val="1584798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3FBD" w:rsidRPr="00911CDB">
            <w:rPr>
              <w:rFonts w:ascii="MS Gothic" w:eastAsia="MS Gothic" w:hAnsi="MS Gothic" w:cs="MS Gothic" w:hint="eastAsia"/>
            </w:rPr>
            <w:t>☐</w:t>
          </w:r>
        </w:sdtContent>
      </w:sdt>
      <w:r w:rsidR="00F73FBD" w:rsidRPr="00911CDB">
        <w:tab/>
      </w:r>
      <w:r w:rsidR="00915C4A" w:rsidRPr="00911CDB">
        <w:t>« M</w:t>
      </w:r>
      <w:r w:rsidR="000968B3">
        <w:t>a thèse en trois images</w:t>
      </w:r>
      <w:r w:rsidR="00780C6A" w:rsidRPr="00911CDB">
        <w:t xml:space="preserve"> et 180 secondes </w:t>
      </w:r>
      <w:r w:rsidR="00F73FBD" w:rsidRPr="00911CDB">
        <w:t>» (</w:t>
      </w:r>
      <w:r w:rsidR="00915C4A" w:rsidRPr="00911CDB">
        <w:t>3 minutes)</w:t>
      </w:r>
    </w:p>
    <w:p w14:paraId="36C486A1" w14:textId="77777777" w:rsidR="00312E4C" w:rsidRPr="00911CDB" w:rsidRDefault="00312E4C" w:rsidP="00312E4C"/>
    <w:p w14:paraId="2C6D9C1E" w14:textId="77777777" w:rsidR="00312E4C" w:rsidRPr="00911CDB" w:rsidRDefault="00312E4C" w:rsidP="00312E4C">
      <w:pPr>
        <w:rPr>
          <w:b/>
          <w:color w:val="244061" w:themeColor="accent1" w:themeShade="80"/>
          <w:sz w:val="28"/>
          <w:szCs w:val="28"/>
        </w:rPr>
      </w:pPr>
      <w:r w:rsidRPr="00911CDB">
        <w:rPr>
          <w:b/>
          <w:color w:val="244061" w:themeColor="accent1" w:themeShade="80"/>
          <w:sz w:val="28"/>
          <w:szCs w:val="28"/>
        </w:rPr>
        <w:t>R</w:t>
      </w:r>
      <w:r w:rsidR="00BA43D7" w:rsidRPr="00911CDB">
        <w:rPr>
          <w:b/>
          <w:color w:val="244061" w:themeColor="accent1" w:themeShade="80"/>
          <w:sz w:val="28"/>
          <w:szCs w:val="28"/>
        </w:rPr>
        <w:t>ésumé</w:t>
      </w:r>
    </w:p>
    <w:p w14:paraId="040AE546" w14:textId="017D7898" w:rsidR="00312E4C" w:rsidRPr="00911CDB" w:rsidRDefault="003651AE" w:rsidP="003651AE">
      <w:pPr>
        <w:jc w:val="both"/>
      </w:pPr>
      <w:r w:rsidRPr="00212037">
        <w:t>L’inondation est l’un des principaux risques d’origine naturelle dans le monde. Face à ce risque amplifié par le changement climatique, penser les stratégies de gestion est devenu fondamental</w:t>
      </w:r>
      <w:r w:rsidR="00081EC7">
        <w:t>, particulièrement sur les côtes basses</w:t>
      </w:r>
      <w:r w:rsidRPr="00212037">
        <w:t>. La perception d</w:t>
      </w:r>
      <w:r w:rsidR="00081EC7">
        <w:t xml:space="preserve">u risque, notion complexe, </w:t>
      </w:r>
      <w:r w:rsidRPr="00212037">
        <w:t xml:space="preserve">constitue un réel apport pour révéler les points de vulnérabilité des populations. Cette </w:t>
      </w:r>
      <w:r w:rsidR="00BB179E">
        <w:t>présentation</w:t>
      </w:r>
      <w:r w:rsidRPr="00212037">
        <w:t xml:space="preserve"> porte </w:t>
      </w:r>
      <w:r w:rsidR="00DC246F">
        <w:t xml:space="preserve">sur </w:t>
      </w:r>
      <w:r w:rsidR="00BB179E">
        <w:t xml:space="preserve">les principaux résultats d’une </w:t>
      </w:r>
      <w:r w:rsidR="00DC246F">
        <w:t xml:space="preserve">large </w:t>
      </w:r>
      <w:r w:rsidR="00BB179E">
        <w:t>enquête de</w:t>
      </w:r>
      <w:r w:rsidRPr="00212037">
        <w:t xml:space="preserve"> perception du risque d’inondation </w:t>
      </w:r>
      <w:r w:rsidR="00BB179E">
        <w:t>menée auprès de</w:t>
      </w:r>
      <w:r w:rsidR="00B521FD">
        <w:t xml:space="preserve">s habitants </w:t>
      </w:r>
      <w:r w:rsidRPr="00212037">
        <w:t>de la communauté urbaine de Dunkerque</w:t>
      </w:r>
      <w:r w:rsidR="00DC246F">
        <w:t xml:space="preserve"> ainsi que des acteurs de la gestion du risque</w:t>
      </w:r>
      <w:r w:rsidRPr="00212037">
        <w:t xml:space="preserve">. </w:t>
      </w:r>
      <w:r w:rsidR="00DC246F">
        <w:t>Ce territoire est</w:t>
      </w:r>
      <w:r w:rsidRPr="00212037">
        <w:t xml:space="preserve"> situé sur une côte basse densément peuplée, urbanisée et historiquement </w:t>
      </w:r>
      <w:r w:rsidRPr="00212037">
        <w:lastRenderedPageBreak/>
        <w:t xml:space="preserve">concernée par l’inondation. </w:t>
      </w:r>
      <w:r w:rsidR="00081EC7">
        <w:t xml:space="preserve">La </w:t>
      </w:r>
      <w:r w:rsidRPr="00212037">
        <w:t xml:space="preserve">méthodologie </w:t>
      </w:r>
      <w:r w:rsidR="00081EC7">
        <w:t>de l’enquête se situe</w:t>
      </w:r>
      <w:r w:rsidRPr="00212037">
        <w:t xml:space="preserve"> à la croisée de plusieurs disciplines (géographie, sociologie, psychosociologie et économie). Les résultats mettent en évidence, dans la population : (1) une perception dissonante du risque d’inondation et une faible préoccupation à son sujet ; (2) des représentations spatiales du risque très différentes des officielles ; (3) l’influence de la perception du risque sur le consente</w:t>
      </w:r>
      <w:r w:rsidR="00DC246F">
        <w:t>ment à payer pour s’en prémunir</w:t>
      </w:r>
      <w:r w:rsidR="00825397">
        <w:t>.</w:t>
      </w:r>
      <w:r w:rsidRPr="00212037">
        <w:t xml:space="preserve"> </w:t>
      </w:r>
      <w:r w:rsidR="00825397">
        <w:t xml:space="preserve">Ce travail propose des </w:t>
      </w:r>
      <w:r w:rsidRPr="00212037">
        <w:t>adaptations pour diminuer la vuln</w:t>
      </w:r>
      <w:r w:rsidR="00081EC7">
        <w:t>érabilité de</w:t>
      </w:r>
      <w:r w:rsidRPr="00212037">
        <w:t>s habitants face aux inondations.</w:t>
      </w:r>
    </w:p>
    <w:p w14:paraId="310A4EA6" w14:textId="77777777" w:rsidR="00312E4C" w:rsidRPr="00911CDB" w:rsidRDefault="00312E4C" w:rsidP="00312E4C"/>
    <w:p w14:paraId="73781430" w14:textId="77777777" w:rsidR="00312E4C" w:rsidRPr="00911CDB" w:rsidRDefault="00312E4C" w:rsidP="00312E4C">
      <w:pPr>
        <w:rPr>
          <w:b/>
          <w:color w:val="244061" w:themeColor="accent1" w:themeShade="80"/>
          <w:sz w:val="28"/>
          <w:szCs w:val="28"/>
        </w:rPr>
      </w:pPr>
      <w:r w:rsidRPr="00911CDB">
        <w:rPr>
          <w:b/>
          <w:color w:val="244061" w:themeColor="accent1" w:themeShade="80"/>
          <w:sz w:val="28"/>
          <w:szCs w:val="28"/>
        </w:rPr>
        <w:t>M</w:t>
      </w:r>
      <w:r w:rsidR="00BA43D7" w:rsidRPr="00911CDB">
        <w:rPr>
          <w:b/>
          <w:color w:val="244061" w:themeColor="accent1" w:themeShade="80"/>
          <w:sz w:val="28"/>
          <w:szCs w:val="28"/>
        </w:rPr>
        <w:t>ots-</w:t>
      </w:r>
      <w:r w:rsidRPr="00911CDB">
        <w:rPr>
          <w:b/>
          <w:color w:val="244061" w:themeColor="accent1" w:themeShade="80"/>
          <w:sz w:val="28"/>
          <w:szCs w:val="28"/>
        </w:rPr>
        <w:t>C</w:t>
      </w:r>
      <w:r w:rsidR="00BA43D7" w:rsidRPr="00911CDB">
        <w:rPr>
          <w:b/>
          <w:color w:val="244061" w:themeColor="accent1" w:themeShade="80"/>
          <w:sz w:val="28"/>
          <w:szCs w:val="28"/>
        </w:rPr>
        <w:t>lés</w:t>
      </w:r>
    </w:p>
    <w:p w14:paraId="18CEB9E1" w14:textId="1A742CFB" w:rsidR="000610DA" w:rsidRDefault="000610DA" w:rsidP="00312E4C">
      <w:r>
        <w:t>Risque ; perception ; changement climatique ; population ; adaptation</w:t>
      </w:r>
    </w:p>
    <w:p w14:paraId="550B5588" w14:textId="77777777" w:rsidR="007603C7" w:rsidRDefault="007603C7">
      <w:pPr>
        <w:rPr>
          <w:rFonts w:eastAsia="Times New Roman" w:cs="Arial"/>
          <w:b/>
          <w:bCs/>
          <w:caps/>
          <w:color w:val="244061" w:themeColor="accent1" w:themeShade="80"/>
          <w:sz w:val="28"/>
          <w:szCs w:val="24"/>
          <w:lang w:eastAsia="fr-FR"/>
        </w:rPr>
      </w:pPr>
      <w:r>
        <w:br w:type="page"/>
      </w:r>
    </w:p>
    <w:p w14:paraId="28E5CDD5" w14:textId="27BB3C76" w:rsidR="00F73FBD" w:rsidRPr="00911CDB" w:rsidRDefault="00F27260" w:rsidP="00D43DEC">
      <w:pPr>
        <w:pStyle w:val="Titre1"/>
        <w:spacing w:before="360"/>
        <w:ind w:left="431" w:hanging="431"/>
      </w:pPr>
      <w:r>
        <w:lastRenderedPageBreak/>
        <w:t>Cadre de recherche</w:t>
      </w:r>
    </w:p>
    <w:p w14:paraId="3933693B" w14:textId="121CD4B8" w:rsidR="00092FC2" w:rsidRPr="00F27260" w:rsidRDefault="00092FC2" w:rsidP="00092FC2">
      <w:pPr>
        <w:rPr>
          <w:sz w:val="28"/>
        </w:rPr>
      </w:pPr>
      <w:r>
        <w:t>L</w:t>
      </w:r>
      <w:r w:rsidRPr="00FF379D">
        <w:t>’inondation est la plus courante et la plus destructrice des catastrophes d’origine naturelles dans le monde</w:t>
      </w:r>
      <w:r w:rsidRPr="00FF379D">
        <w:rPr>
          <w:rStyle w:val="Appelnotedebasdep"/>
          <w:rFonts w:asciiTheme="majorHAnsi" w:hAnsiTheme="majorHAnsi"/>
          <w:sz w:val="24"/>
        </w:rPr>
        <w:footnoteReference w:id="1"/>
      </w:r>
      <w:r w:rsidRPr="00FF379D">
        <w:t>, la France ne fait pas exception</w:t>
      </w:r>
      <w:r>
        <w:rPr>
          <w:i/>
        </w:rPr>
        <w:t>.</w:t>
      </w:r>
      <w:r>
        <w:t xml:space="preserve"> </w:t>
      </w:r>
      <w:r w:rsidRPr="0086159A">
        <w:t>Les territoires littoraux, côtiers et de basses altitudes sont et seront davantage exposés au risque d’inondation dans les prochaines décennies à cause des conséquences du changement climatique</w:t>
      </w:r>
      <w:r w:rsidRPr="0086159A">
        <w:rPr>
          <w:rStyle w:val="Appelnotedebasdep"/>
          <w:rFonts w:asciiTheme="majorHAnsi" w:hAnsiTheme="majorHAnsi"/>
          <w:sz w:val="24"/>
        </w:rPr>
        <w:footnoteReference w:id="2"/>
      </w:r>
      <w:r w:rsidRPr="0086159A">
        <w:t>.</w:t>
      </w:r>
      <w:r>
        <w:t xml:space="preserve"> </w:t>
      </w:r>
      <w:r w:rsidRPr="002C2716">
        <w:t>Ceci est d’autant plus préoccupant que ces zones sont de plus en plus att</w:t>
      </w:r>
      <w:r>
        <w:t>ractives, investies et peuplées</w:t>
      </w:r>
      <w:r>
        <w:rPr>
          <w:rStyle w:val="Appelnotedebasdep"/>
          <w:rFonts w:asciiTheme="majorHAnsi" w:hAnsiTheme="majorHAnsi"/>
          <w:sz w:val="24"/>
        </w:rPr>
        <w:footnoteReference w:id="3"/>
      </w:r>
      <w:r>
        <w:t>.</w:t>
      </w:r>
      <w:r w:rsidRPr="00092FC2">
        <w:t xml:space="preserve"> </w:t>
      </w:r>
      <w:r>
        <w:t>Cette présentation s’appuie sur un</w:t>
      </w:r>
      <w:r w:rsidR="00F27260">
        <w:t xml:space="preserve"> travail de thèse, elle interroge </w:t>
      </w:r>
      <w:r w:rsidRPr="002C2716">
        <w:t>la place qu’occupe le risque d’inondation dans les esprits de celles et ceu</w:t>
      </w:r>
      <w:r>
        <w:t>x qui fréquentent au quotidien c</w:t>
      </w:r>
      <w:r w:rsidRPr="002C2716">
        <w:t>es territoires à forts enjeux</w:t>
      </w:r>
      <w:r>
        <w:t>.</w:t>
      </w:r>
    </w:p>
    <w:p w14:paraId="13163036" w14:textId="30348017" w:rsidR="00F73FBD" w:rsidRDefault="00EC0CD7" w:rsidP="00F73FBD">
      <w:pPr>
        <w:pStyle w:val="Titre2"/>
      </w:pPr>
      <w:r>
        <w:t>Problématique et intérêts du travail</w:t>
      </w:r>
    </w:p>
    <w:p w14:paraId="301BFA93" w14:textId="22D733C8" w:rsidR="00F445A9" w:rsidRPr="00315FA2" w:rsidRDefault="00F27260" w:rsidP="00F445A9">
      <w:r>
        <w:t xml:space="preserve">La problématique qui guide travail est la suivante : </w:t>
      </w:r>
      <w:r w:rsidR="00F445A9" w:rsidRPr="00F445A9">
        <w:t>« Dans quelles mesures et sous quelles formes l’analyse de la perception du risque d’inondation à différents niveaux de la population d’un territoire de côtes basses densément peuplées exposé aux conséquences du changement climatique, permettra-t-elle de proposer des pistes d’adaptation pour mieux s’en prémunir ? ».</w:t>
      </w:r>
      <w:r w:rsidR="00E60BBD">
        <w:t xml:space="preserve"> </w:t>
      </w:r>
      <w:r w:rsidR="00F445A9">
        <w:t>L</w:t>
      </w:r>
      <w:r w:rsidR="00F445A9" w:rsidRPr="003A476D">
        <w:t>’intérêt de ce travail est</w:t>
      </w:r>
      <w:r w:rsidR="00E60BBD">
        <w:t xml:space="preserve"> </w:t>
      </w:r>
      <w:r w:rsidR="00F445A9" w:rsidRPr="003A476D">
        <w:t>: (i) d’enrichir les connaissances dans le domaine de la géographie et des sciences cindyniques à propos de la perception du risque d’inondation ; (ii</w:t>
      </w:r>
      <w:r w:rsidR="00F445A9" w:rsidRPr="006644B8">
        <w:t>) de fournir un apport opérationnel pour le cas d’étude sélectionné en identifiant les facteurs de perceptions susceptibles d’augmenter la vulnérabilité des populations face à ce risque, dans le but de proposer des adaptations pou</w:t>
      </w:r>
      <w:r>
        <w:t>r diminuer cette vulnérabilité.</w:t>
      </w:r>
      <w:r w:rsidR="00315FA2">
        <w:t xml:space="preserve"> </w:t>
      </w:r>
      <w:r w:rsidR="00F445A9" w:rsidRPr="005B57C8">
        <w:t>Plus précisément, cette recherche porte sur trois axes majeurs : (1) la prise en compte du risque d’inondation par les populations et l’identification des facteurs influençant leur perception ; (2) le décalage entre sa représentation par les habitants et celle des institutions publiques ; (3) la disposition des personnes à contribuer financièrement pour se prémunir de ce risque.</w:t>
      </w:r>
    </w:p>
    <w:p w14:paraId="486DE8C6" w14:textId="1440EC0C" w:rsidR="00993E29" w:rsidRDefault="00993E29" w:rsidP="00993E29">
      <w:pPr>
        <w:pStyle w:val="Titre2"/>
      </w:pPr>
      <w:r>
        <w:t>L</w:t>
      </w:r>
      <w:r w:rsidR="00F27260">
        <w:t>a</w:t>
      </w:r>
      <w:r>
        <w:t xml:space="preserve"> </w:t>
      </w:r>
      <w:r w:rsidR="00F27260">
        <w:t>perception des risques</w:t>
      </w:r>
    </w:p>
    <w:p w14:paraId="2B084D34" w14:textId="3B424AE8" w:rsidR="00F27260" w:rsidRDefault="00F27260" w:rsidP="00564A08">
      <w:r w:rsidRPr="002C2716">
        <w:t>Dans le domaine des sciences du dange</w:t>
      </w:r>
      <w:r w:rsidR="00E60BBD">
        <w:t xml:space="preserve">r ou cindyniques, le risque est </w:t>
      </w:r>
      <w:r w:rsidRPr="002C2716">
        <w:t>traditionnellement considéré comme « la probabilité d’occurrence de dommage compte tenu des interactions entre processus physiques d’endommagement (aléas) et facteurs de peuplement (vulnérabilité) »</w:t>
      </w:r>
      <w:r>
        <w:rPr>
          <w:rStyle w:val="Appelnotedebasdep"/>
        </w:rPr>
        <w:footnoteReference w:id="4"/>
      </w:r>
      <w:r w:rsidRPr="002C2716">
        <w:t>.</w:t>
      </w:r>
      <w:r w:rsidR="00E60BBD">
        <w:t xml:space="preserve"> </w:t>
      </w:r>
      <w:r w:rsidR="00315FA2">
        <w:t xml:space="preserve">Cette présentation </w:t>
      </w:r>
      <w:r w:rsidRPr="002C2716">
        <w:t>s’intéresse plus particulièrement à un des facteurs déterminants de la vulnérabilité des populations : leur perception des risques auxquels elles sont exposées</w:t>
      </w:r>
      <w:r w:rsidR="00423ABB">
        <w:rPr>
          <w:rStyle w:val="Appelnotedebasdep"/>
        </w:rPr>
        <w:footnoteReference w:id="5"/>
      </w:r>
      <w:r w:rsidRPr="002C2716">
        <w:t xml:space="preserve">. Sur le plan scientifique, </w:t>
      </w:r>
      <w:r>
        <w:t xml:space="preserve">la perception des risques </w:t>
      </w:r>
      <w:r w:rsidRPr="002C2716">
        <w:t xml:space="preserve">est généralement considérée comme la combinaison de la probabilité perçue de subir un aléa avec ses conséquences potentielles </w:t>
      </w:r>
      <w:r>
        <w:t>perçues</w:t>
      </w:r>
      <w:r w:rsidR="00423ABB">
        <w:rPr>
          <w:rStyle w:val="Appelnotedebasdep"/>
        </w:rPr>
        <w:footnoteReference w:id="6"/>
      </w:r>
      <w:r>
        <w:t>.</w:t>
      </w:r>
      <w:r w:rsidR="00315FA2">
        <w:t xml:space="preserve"> </w:t>
      </w:r>
      <w:r>
        <w:t xml:space="preserve">Cette perception peut être influencée par différents biais et facteurs d’ordre </w:t>
      </w:r>
      <w:r>
        <w:lastRenderedPageBreak/>
        <w:t xml:space="preserve">psychologique, cognitif, culturel, socio-démographique, </w:t>
      </w:r>
      <w:r w:rsidRPr="00152DB2">
        <w:t>géographique</w:t>
      </w:r>
      <w:r>
        <w:t>, etc.</w:t>
      </w:r>
      <w:r w:rsidR="00423ABB">
        <w:rPr>
          <w:rStyle w:val="Appelnotedebasdep"/>
        </w:rPr>
        <w:footnoteReference w:id="7"/>
      </w:r>
      <w:r w:rsidR="00241924">
        <w:t xml:space="preserve"> (voir figure 1)</w:t>
      </w:r>
      <w:r w:rsidR="002B1F4A">
        <w:t xml:space="preserve">. </w:t>
      </w:r>
      <w:r w:rsidRPr="002C2716">
        <w:t>L’étude de la perception des risques des populations</w:t>
      </w:r>
      <w:r w:rsidR="00E60BBD">
        <w:t xml:space="preserve"> grâce à une enquête </w:t>
      </w:r>
      <w:r w:rsidRPr="002C2716">
        <w:t>permet d’identifier quels sont les facteurs qui influencent leur</w:t>
      </w:r>
      <w:r w:rsidR="00E60BBD">
        <w:t>s</w:t>
      </w:r>
      <w:r w:rsidRPr="002C2716">
        <w:t xml:space="preserve"> pe</w:t>
      </w:r>
      <w:r>
        <w:t>rception</w:t>
      </w:r>
      <w:r w:rsidR="00E60BBD">
        <w:t>s</w:t>
      </w:r>
      <w:r w:rsidR="00423ABB">
        <w:rPr>
          <w:rStyle w:val="Appelnotedebasdep"/>
        </w:rPr>
        <w:footnoteReference w:id="8"/>
      </w:r>
      <w:r>
        <w:t>, alors susceptibles d’augmenter</w:t>
      </w:r>
      <w:r w:rsidRPr="002C2716">
        <w:t xml:space="preserve"> leur vulnérabilité</w:t>
      </w:r>
      <w:r>
        <w:t xml:space="preserve"> face au danger</w:t>
      </w:r>
      <w:r w:rsidRPr="002C2716">
        <w:t>.</w:t>
      </w:r>
    </w:p>
    <w:p w14:paraId="6C812157" w14:textId="403920E4" w:rsidR="00F27260" w:rsidRDefault="00986E45" w:rsidP="00564A08">
      <w:pPr>
        <w:pStyle w:val="Titre2"/>
      </w:pPr>
      <w:r>
        <w:t>Le cas d’étude : la communauté urbaine de Dunkerque</w:t>
      </w:r>
    </w:p>
    <w:p w14:paraId="3C68B32B" w14:textId="3C1DE450" w:rsidR="00F445A9" w:rsidRPr="00986E45" w:rsidRDefault="00E60BBD" w:rsidP="00986E45">
      <w:r>
        <w:t>L</w:t>
      </w:r>
      <w:r w:rsidR="00564A08" w:rsidRPr="003A70FC">
        <w:t xml:space="preserve">e territoire </w:t>
      </w:r>
      <w:r>
        <w:t xml:space="preserve">sélectionné est </w:t>
      </w:r>
      <w:r w:rsidR="00564A08" w:rsidRPr="003A70FC">
        <w:t xml:space="preserve">la communauté urbaine de Dunkerque (CUD), un </w:t>
      </w:r>
      <w:r w:rsidR="00564A08">
        <w:t>EPCI</w:t>
      </w:r>
      <w:r w:rsidR="00564A08" w:rsidRPr="003A70FC">
        <w:t xml:space="preserve"> composé de 17 communes et d’environ </w:t>
      </w:r>
      <w:r>
        <w:t>200.000 habitants</w:t>
      </w:r>
      <w:r w:rsidR="00241924">
        <w:t xml:space="preserve"> (voir figure 2)</w:t>
      </w:r>
      <w:r>
        <w:t>. Il est situé</w:t>
      </w:r>
      <w:r w:rsidR="00564A08" w:rsidRPr="003A70FC">
        <w:t xml:space="preserve"> sur la plaine maritime flamande en bordure de la mer du Nord et est essentiellement bâti sur un polder : un espace conquis sur l’eau aux moyens de méthodes d’assèch</w:t>
      </w:r>
      <w:r w:rsidR="00564A08">
        <w:t>ement et d’endiguement</w:t>
      </w:r>
      <w:r w:rsidR="00564A08">
        <w:rPr>
          <w:rStyle w:val="Appelnotedebasdep"/>
          <w:rFonts w:asciiTheme="majorHAnsi" w:hAnsiTheme="majorHAnsi"/>
          <w:sz w:val="24"/>
        </w:rPr>
        <w:footnoteReference w:id="9"/>
      </w:r>
      <w:r w:rsidR="00564A08">
        <w:t>.</w:t>
      </w:r>
      <w:r w:rsidR="00986E45">
        <w:t xml:space="preserve"> L’ensemble du territoire est couvert par le système des wateringues pour se préserver quotidiennement du retour des eaux marines et du débordement des eaux continentales</w:t>
      </w:r>
      <w:r w:rsidR="00564A08" w:rsidRPr="003A70FC">
        <w:t>. Ce territoire industrialo-portuaire situé sur une côte basse est fortemen</w:t>
      </w:r>
      <w:r w:rsidR="00564A08">
        <w:t>t urbanisé et densément peuplé</w:t>
      </w:r>
      <w:r w:rsidR="00564A08">
        <w:rPr>
          <w:rStyle w:val="Appelnotedebasdep"/>
          <w:rFonts w:asciiTheme="majorHAnsi" w:hAnsiTheme="majorHAnsi"/>
          <w:sz w:val="24"/>
        </w:rPr>
        <w:footnoteReference w:id="10"/>
      </w:r>
      <w:r w:rsidR="00564A08" w:rsidRPr="003A70FC">
        <w:t>.</w:t>
      </w:r>
      <w:r>
        <w:t xml:space="preserve"> </w:t>
      </w:r>
      <w:r w:rsidR="00564A08" w:rsidRPr="003A70FC">
        <w:t xml:space="preserve">Le risque d’inondation </w:t>
      </w:r>
      <w:r>
        <w:t xml:space="preserve">y </w:t>
      </w:r>
      <w:r w:rsidR="00564A08" w:rsidRPr="003A70FC">
        <w:t>est historiquement présent. Son centre d’agglomération, Dunkerque, a été inondé de façon importante en 1949 et en 1953</w:t>
      </w:r>
      <w:r w:rsidR="00564A08" w:rsidRPr="0086159A">
        <w:t>, lors de la grande inondation de la mer du Nord</w:t>
      </w:r>
      <w:r w:rsidR="00564A08">
        <w:rPr>
          <w:rStyle w:val="Appelnotedebasdep"/>
          <w:rFonts w:asciiTheme="majorHAnsi" w:hAnsiTheme="majorHAnsi"/>
          <w:sz w:val="24"/>
        </w:rPr>
        <w:footnoteReference w:id="11"/>
      </w:r>
      <w:r w:rsidR="00564A08">
        <w:t>. De</w:t>
      </w:r>
      <w:r w:rsidR="00986E45">
        <w:t>s</w:t>
      </w:r>
      <w:r w:rsidR="00564A08">
        <w:t xml:space="preserve"> récents évènements, à l’instar de la tempête Xaver </w:t>
      </w:r>
      <w:r w:rsidR="00986E45">
        <w:t>(2013)</w:t>
      </w:r>
      <w:r w:rsidR="00564A08">
        <w:t>, prouvent que le risque est aujourd’hui encore présent.</w:t>
      </w:r>
      <w:r w:rsidR="00986E45">
        <w:t xml:space="preserve"> </w:t>
      </w:r>
      <w:r w:rsidR="00564A08" w:rsidRPr="003A70FC">
        <w:t xml:space="preserve">Ce </w:t>
      </w:r>
      <w:r w:rsidR="00564A08">
        <w:t xml:space="preserve">secteur </w:t>
      </w:r>
      <w:r w:rsidR="00564A08" w:rsidRPr="003A70FC">
        <w:t xml:space="preserve">est aussi exposé aux </w:t>
      </w:r>
      <w:r w:rsidR="00564A08">
        <w:t>risques industriel et nucléaire. En effet, le territoire accueille 14 sites SEVESO ainsi que la centrale nucléaire de Gravelines</w:t>
      </w:r>
      <w:r w:rsidR="00241924">
        <w:t xml:space="preserve"> (voir figure 3)</w:t>
      </w:r>
      <w:r w:rsidR="00564A08">
        <w:t xml:space="preserve">. Cette situation </w:t>
      </w:r>
      <w:r w:rsidR="00564A08" w:rsidRPr="003A70FC">
        <w:t>entraîne une possible conjonction de risques de différentes natures</w:t>
      </w:r>
      <w:r w:rsidR="00564A08">
        <w:t xml:space="preserve"> et est donc à prendre en considération sur ce </w:t>
      </w:r>
      <w:r w:rsidR="00986E45">
        <w:t>territoire</w:t>
      </w:r>
      <w:r w:rsidR="00564A08">
        <w:t>.</w:t>
      </w:r>
    </w:p>
    <w:p w14:paraId="6304FAB6" w14:textId="0EB97761" w:rsidR="00993E29" w:rsidRDefault="00183DB5" w:rsidP="00993E29">
      <w:pPr>
        <w:pStyle w:val="Titre2"/>
      </w:pPr>
      <w:r>
        <w:t>Une m</w:t>
      </w:r>
      <w:r w:rsidR="00993E29">
        <w:t>éthodologie interdisciplinaire</w:t>
      </w:r>
    </w:p>
    <w:p w14:paraId="71935977" w14:textId="61CC989E" w:rsidR="00A81371" w:rsidRPr="00A81371" w:rsidRDefault="00564A08" w:rsidP="00A81371">
      <w:r w:rsidRPr="003A70FC">
        <w:t>L’originalité de la méthodologie employée réside dans son caractère interdisciplinaire</w:t>
      </w:r>
      <w:r>
        <w:t xml:space="preserve">, elle </w:t>
      </w:r>
      <w:r w:rsidRPr="003A70FC">
        <w:t>rassemble différents outils d’enquête traditionnellement utilisés dans plusieurs disciplines. Ainsi, l’approche proposée s’inscrit dans une démarche principalement géographique, appuyée par la sociologie, la psychosociologie et l’économie</w:t>
      </w:r>
      <w:r>
        <w:t xml:space="preserve">. </w:t>
      </w:r>
      <w:r w:rsidRPr="003A70FC">
        <w:t>Le cœur de l’enquête réside dans la passation du questionnaire aup</w:t>
      </w:r>
      <w:r>
        <w:t>rès des habitants du territoire de la CUD. C</w:t>
      </w:r>
      <w:r w:rsidRPr="003A70FC">
        <w:t>inq terrains d’enquête ont été sélectionnés à partir de différents critères</w:t>
      </w:r>
      <w:r>
        <w:t> : Rosendaël, Malo-les-Bains, Petit-Fort-Philippe, Grand Large et les Moëres</w:t>
      </w:r>
      <w:r w:rsidR="00241924">
        <w:t xml:space="preserve"> (voir figure 4)</w:t>
      </w:r>
      <w:r>
        <w:t>.</w:t>
      </w:r>
      <w:r w:rsidR="005C17E3">
        <w:t xml:space="preserve"> </w:t>
      </w:r>
      <w:r w:rsidRPr="003A70FC">
        <w:t>Cette enquête traite le sujet par un apport de données qualitatives</w:t>
      </w:r>
      <w:r>
        <w:t xml:space="preserve"> </w:t>
      </w:r>
      <w:r w:rsidRPr="003A70FC">
        <w:t>et quantitatives</w:t>
      </w:r>
      <w:r>
        <w:t xml:space="preserve">. Le volet quantitatif réside surtout dans la passation du questionnaire. </w:t>
      </w:r>
      <w:r w:rsidRPr="003A70FC">
        <w:t xml:space="preserve">L’échantillon interrogé </w:t>
      </w:r>
      <w:r>
        <w:t>comporte</w:t>
      </w:r>
      <w:r w:rsidRPr="003A70FC">
        <w:t xml:space="preserve"> 450 habitants répartis sur ces cinq terrains</w:t>
      </w:r>
      <w:r>
        <w:t> : 100 par terrain d’enquête et 50 pour les Moëres</w:t>
      </w:r>
      <w:r w:rsidRPr="003A70FC">
        <w:t>. Il a été élabo</w:t>
      </w:r>
      <w:r>
        <w:t>ré selon la méthode des quotas</w:t>
      </w:r>
      <w:r>
        <w:rPr>
          <w:rStyle w:val="Appelnotedebasdep"/>
          <w:rFonts w:asciiTheme="majorHAnsi" w:hAnsiTheme="majorHAnsi"/>
          <w:sz w:val="24"/>
        </w:rPr>
        <w:footnoteReference w:id="12"/>
      </w:r>
      <w:r w:rsidRPr="003A70FC">
        <w:t xml:space="preserve"> et est représentatif de la population du territoire</w:t>
      </w:r>
      <w:r>
        <w:t xml:space="preserve">. A travers différents thèmes, le questionnaire permet de mesurer </w:t>
      </w:r>
      <w:r w:rsidRPr="003A70FC">
        <w:t xml:space="preserve">l’influence des différents facteurs d’influence de la perception, </w:t>
      </w:r>
      <w:r>
        <w:t>leur représentation spatiale du risque grâce à des cartes cognitives à l’échelle du territoire de la CUD et des terrai</w:t>
      </w:r>
      <w:r w:rsidR="00986E45">
        <w:t xml:space="preserve">ns </w:t>
      </w:r>
      <w:r w:rsidR="00986E45">
        <w:lastRenderedPageBreak/>
        <w:t xml:space="preserve">d’enquête, ainsi que leur consentement à payer </w:t>
      </w:r>
      <w:r w:rsidR="00A0711E">
        <w:t xml:space="preserve">(CAP) </w:t>
      </w:r>
      <w:r w:rsidR="00986E45">
        <w:t>une nouvelle taxe de prévention contre les inondations nommée</w:t>
      </w:r>
      <w:r>
        <w:t xml:space="preserve"> taxe GEMAPI.</w:t>
      </w:r>
      <w:r w:rsidR="00986E45">
        <w:t xml:space="preserve"> </w:t>
      </w:r>
      <w:r>
        <w:t>Sur le plan quantitatif, 26 entretiens ont été menés auprès de différents acteurs du territoire</w:t>
      </w:r>
      <w:r w:rsidR="00315FA2">
        <w:t xml:space="preserve"> pour</w:t>
      </w:r>
      <w:r>
        <w:t xml:space="preserve"> renforcer l’analyse des résultats.</w:t>
      </w:r>
    </w:p>
    <w:p w14:paraId="7CAC4CC2" w14:textId="7497E5F0" w:rsidR="00C428B8" w:rsidRDefault="00993E29" w:rsidP="00C428B8">
      <w:pPr>
        <w:pStyle w:val="Titre1"/>
      </w:pPr>
      <w:r>
        <w:t>Resultats de l’enquête et préconisations</w:t>
      </w:r>
    </w:p>
    <w:p w14:paraId="547E7B93" w14:textId="5EF59397" w:rsidR="00564A08" w:rsidRPr="00564A08" w:rsidRDefault="00564A08" w:rsidP="00564A08">
      <w:r w:rsidRPr="002C2716">
        <w:t>L’analyse des 450 questionnaires de perception a mis en lumiè</w:t>
      </w:r>
      <w:r w:rsidR="00986E45">
        <w:t>re trois principaux résultats</w:t>
      </w:r>
      <w:r w:rsidR="00315FA2">
        <w:t xml:space="preserve"> : (1) une perception dissonante du risque ; (2) </w:t>
      </w:r>
      <w:r w:rsidR="00315FA2" w:rsidRPr="00212037">
        <w:t>des représentations spatiales du risque très différentes des</w:t>
      </w:r>
      <w:r w:rsidR="00315FA2">
        <w:t xml:space="preserve"> représentations officielles ; (3) </w:t>
      </w:r>
      <w:r w:rsidR="00315FA2" w:rsidRPr="00212037">
        <w:t xml:space="preserve">l’influence de la perception du risque sur le </w:t>
      </w:r>
      <w:r w:rsidR="00A0711E">
        <w:t>CAP</w:t>
      </w:r>
      <w:r w:rsidR="00315FA2">
        <w:t xml:space="preserve"> pour s’en prémunir.</w:t>
      </w:r>
    </w:p>
    <w:p w14:paraId="71973F89" w14:textId="7A00ECB8" w:rsidR="00A81371" w:rsidRDefault="00A81371" w:rsidP="00A81371">
      <w:pPr>
        <w:pStyle w:val="Titre2"/>
      </w:pPr>
      <w:r>
        <w:t>La perception dissonante du risque d’inondation</w:t>
      </w:r>
    </w:p>
    <w:p w14:paraId="17AE4354" w14:textId="305998A4" w:rsidR="00F445A9" w:rsidRPr="00C23809" w:rsidRDefault="00C23809" w:rsidP="00F445A9">
      <w:pPr>
        <w:rPr>
          <w:i/>
        </w:rPr>
      </w:pPr>
      <w:r>
        <w:t xml:space="preserve">Ce premier résultat comporte 3 dimensions. </w:t>
      </w:r>
      <w:r w:rsidR="00564A08">
        <w:t xml:space="preserve">La première porte sur </w:t>
      </w:r>
      <w:r w:rsidR="00564A08" w:rsidRPr="002C2716">
        <w:t xml:space="preserve">la préoccupation </w:t>
      </w:r>
      <w:r w:rsidR="00564A08">
        <w:t>pour le risque d’inondation. L</w:t>
      </w:r>
      <w:r w:rsidR="00564A08" w:rsidRPr="002C2716">
        <w:t>es habitants sont plus focalisés sur les risques de pollution et de contracter une maladie grave que sur le risque d’inondation qu’ils craignent globalement peu</w:t>
      </w:r>
      <w:r w:rsidR="00241924">
        <w:t xml:space="preserve"> (voir figure 5)</w:t>
      </w:r>
      <w:r w:rsidR="00564A08" w:rsidRPr="002C2716">
        <w:t>.</w:t>
      </w:r>
      <w:r>
        <w:t xml:space="preserve"> </w:t>
      </w:r>
      <w:r w:rsidR="00564A08">
        <w:t xml:space="preserve">Ces résultats sont influencés par divers biais cognitifs </w:t>
      </w:r>
      <w:r>
        <w:t>et</w:t>
      </w:r>
      <w:r w:rsidR="00564A08" w:rsidRPr="00F3686D">
        <w:rPr>
          <w:szCs w:val="24"/>
        </w:rPr>
        <w:t xml:space="preserve"> </w:t>
      </w:r>
      <w:r>
        <w:rPr>
          <w:szCs w:val="24"/>
        </w:rPr>
        <w:t>facteurs d’influence.</w:t>
      </w:r>
      <w:r>
        <w:t xml:space="preserve"> </w:t>
      </w:r>
      <w:r w:rsidR="00564A08" w:rsidRPr="002C2716">
        <w:t>La seconde dimension porte sur la posture d’attente qu’adopte la population vis-à-vis du risque d’inondation. La plupart adopte un rapport passif à l’information</w:t>
      </w:r>
      <w:r w:rsidR="00564A08">
        <w:t xml:space="preserve"> : </w:t>
      </w:r>
      <w:r w:rsidR="005C17E3">
        <w:t>elles</w:t>
      </w:r>
      <w:r>
        <w:t xml:space="preserve"> sont </w:t>
      </w:r>
      <w:r w:rsidR="005C17E3">
        <w:t>majoritaires</w:t>
      </w:r>
      <w:r w:rsidR="00564A08">
        <w:t xml:space="preserve"> </w:t>
      </w:r>
      <w:r w:rsidR="005C17E3">
        <w:t>à ne pas se renseigner, à être en</w:t>
      </w:r>
      <w:r w:rsidR="00564A08">
        <w:t xml:space="preserve"> demande d’information à ce sujet</w:t>
      </w:r>
      <w:r w:rsidR="005C17E3">
        <w:t xml:space="preserve"> et à ne</w:t>
      </w:r>
      <w:r w:rsidR="00564A08">
        <w:t xml:space="preserve"> </w:t>
      </w:r>
      <w:r w:rsidR="005C17E3">
        <w:t>pas</w:t>
      </w:r>
      <w:r>
        <w:t xml:space="preserve"> de démarche individuelle pour se protéger au sein de leur habitat. </w:t>
      </w:r>
      <w:r w:rsidR="00564A08" w:rsidRPr="00270D9B">
        <w:rPr>
          <w:rFonts w:cs="Calibri"/>
        </w:rPr>
        <w:t xml:space="preserve">La troisième dimension porte sur la culture du risque. </w:t>
      </w:r>
      <w:r>
        <w:rPr>
          <w:rFonts w:cs="Calibri"/>
        </w:rPr>
        <w:t>L</w:t>
      </w:r>
      <w:r w:rsidR="00564A08">
        <w:rPr>
          <w:rFonts w:cs="Calibri"/>
        </w:rPr>
        <w:t>es</w:t>
      </w:r>
      <w:r w:rsidR="00564A08" w:rsidRPr="00270D9B">
        <w:rPr>
          <w:rFonts w:cs="Calibri"/>
        </w:rPr>
        <w:t xml:space="preserve"> habitants perçoivent l’environnement côtier </w:t>
      </w:r>
      <w:r w:rsidR="00564A08">
        <w:rPr>
          <w:rFonts w:cs="Calibri"/>
        </w:rPr>
        <w:t xml:space="preserve">surtout </w:t>
      </w:r>
      <w:r w:rsidR="00564A08" w:rsidRPr="00270D9B">
        <w:rPr>
          <w:rFonts w:cs="Calibri"/>
        </w:rPr>
        <w:t>pour les avantages que procure la mer</w:t>
      </w:r>
      <w:r w:rsidR="00241924">
        <w:rPr>
          <w:rFonts w:cs="Calibri"/>
        </w:rPr>
        <w:t xml:space="preserve"> (voir figure 6)</w:t>
      </w:r>
      <w:r w:rsidR="00564A08" w:rsidRPr="00270D9B">
        <w:rPr>
          <w:rFonts w:cs="Calibri"/>
        </w:rPr>
        <w:t>. Le risque d’inondation n</w:t>
      </w:r>
      <w:r w:rsidR="005C17E3">
        <w:rPr>
          <w:rFonts w:cs="Calibri"/>
        </w:rPr>
        <w:t>’est pratiquement jamais évoqué. Les antécédents historiques</w:t>
      </w:r>
      <w:r w:rsidR="00564A08" w:rsidRPr="00270D9B">
        <w:rPr>
          <w:rFonts w:cs="Calibri"/>
        </w:rPr>
        <w:t xml:space="preserve"> </w:t>
      </w:r>
      <w:r w:rsidR="005C17E3">
        <w:rPr>
          <w:rFonts w:cs="Calibri"/>
        </w:rPr>
        <w:t xml:space="preserve">ne sont pas connus, tout comme </w:t>
      </w:r>
      <w:r>
        <w:rPr>
          <w:rFonts w:cs="Calibri"/>
        </w:rPr>
        <w:t xml:space="preserve">les </w:t>
      </w:r>
      <w:r w:rsidR="005C17E3">
        <w:rPr>
          <w:rFonts w:cs="Calibri"/>
        </w:rPr>
        <w:t xml:space="preserve">consignes de sécurité et les conduites à tenir </w:t>
      </w:r>
      <w:r w:rsidR="00564A08" w:rsidRPr="00270D9B">
        <w:rPr>
          <w:rFonts w:cs="Calibri"/>
        </w:rPr>
        <w:t>en cas d’inondation</w:t>
      </w:r>
      <w:r w:rsidR="00564A08">
        <w:rPr>
          <w:rFonts w:cs="Calibri"/>
        </w:rPr>
        <w:t>.</w:t>
      </w:r>
      <w:r>
        <w:t xml:space="preserve"> </w:t>
      </w:r>
      <w:r w:rsidR="00564A08">
        <w:t>C</w:t>
      </w:r>
      <w:r w:rsidR="00564A08" w:rsidRPr="002C2716">
        <w:t>es trois dimensions</w:t>
      </w:r>
      <w:r w:rsidR="00564A08">
        <w:t xml:space="preserve"> témoignent de l’influence des facteurs de perception et des biais chez les habitants</w:t>
      </w:r>
      <w:r w:rsidR="00564A08" w:rsidRPr="002C2716">
        <w:t xml:space="preserve">. </w:t>
      </w:r>
      <w:r w:rsidR="00564A08">
        <w:t xml:space="preserve">Bien que cela ne soit </w:t>
      </w:r>
      <w:r w:rsidR="005C17E3">
        <w:t>pas généralisé,</w:t>
      </w:r>
      <w:r w:rsidR="00564A08">
        <w:t xml:space="preserve"> u</w:t>
      </w:r>
      <w:r w:rsidR="00564A08" w:rsidRPr="002C2716">
        <w:t xml:space="preserve">ne majorité d’habitants de ce territoire </w:t>
      </w:r>
      <w:r w:rsidR="00564A08">
        <w:t xml:space="preserve">ont </w:t>
      </w:r>
      <w:r w:rsidR="00564A08" w:rsidRPr="002C2716">
        <w:t>une perception dissonante du risque d’inondation</w:t>
      </w:r>
      <w:r w:rsidR="00423ABB">
        <w:rPr>
          <w:rStyle w:val="Appelnotedebasdep"/>
        </w:rPr>
        <w:footnoteReference w:id="13"/>
      </w:r>
      <w:r w:rsidR="00564A08">
        <w:t xml:space="preserve">, qui correspond à une </w:t>
      </w:r>
      <w:r w:rsidR="00564A08" w:rsidRPr="002C2716">
        <w:t>réaction classique de minimisation du risque sans le prend</w:t>
      </w:r>
      <w:r w:rsidR="00423ABB">
        <w:t>re en compte dans le quotidien</w:t>
      </w:r>
      <w:r w:rsidR="00423ABB">
        <w:rPr>
          <w:rStyle w:val="Appelnotedebasdep"/>
        </w:rPr>
        <w:footnoteReference w:id="14"/>
      </w:r>
      <w:r w:rsidR="005C17E3">
        <w:t>.</w:t>
      </w:r>
    </w:p>
    <w:p w14:paraId="34798A31" w14:textId="575B05A8" w:rsidR="00A81371" w:rsidRDefault="00A81371" w:rsidP="00A81371">
      <w:pPr>
        <w:pStyle w:val="Titre2"/>
      </w:pPr>
      <w:r>
        <w:t>La représentation spatiale du risque</w:t>
      </w:r>
    </w:p>
    <w:p w14:paraId="1359A4AA" w14:textId="059B47D7" w:rsidR="00F445A9" w:rsidRPr="00F445A9" w:rsidRDefault="00564A08" w:rsidP="00F445A9">
      <w:r>
        <w:t xml:space="preserve">Le second résultat majeur </w:t>
      </w:r>
      <w:r w:rsidR="006C5E8E">
        <w:t xml:space="preserve">porte sur </w:t>
      </w:r>
      <w:r>
        <w:t>l’analyse des cartes cognitives et la représentation spatiale du risque d’inondation.</w:t>
      </w:r>
      <w:r w:rsidRPr="00FC53AE">
        <w:t xml:space="preserve"> La représentation se situe dans la continuité de la perception</w:t>
      </w:r>
      <w:r w:rsidR="006C5E8E">
        <w:t xml:space="preserve">, bien que plus construite et moins spontanée. </w:t>
      </w:r>
      <w:r>
        <w:rPr>
          <w:szCs w:val="24"/>
        </w:rPr>
        <w:t xml:space="preserve">La plupart </w:t>
      </w:r>
      <w:r w:rsidR="008E639C">
        <w:rPr>
          <w:szCs w:val="24"/>
        </w:rPr>
        <w:t>des personnes</w:t>
      </w:r>
      <w:r>
        <w:rPr>
          <w:szCs w:val="24"/>
        </w:rPr>
        <w:t xml:space="preserve"> </w:t>
      </w:r>
      <w:r w:rsidRPr="00747B61">
        <w:rPr>
          <w:szCs w:val="24"/>
        </w:rPr>
        <w:t xml:space="preserve">considèrent que </w:t>
      </w:r>
      <w:r w:rsidR="008E639C">
        <w:rPr>
          <w:szCs w:val="24"/>
        </w:rPr>
        <w:t>l</w:t>
      </w:r>
      <w:r>
        <w:rPr>
          <w:szCs w:val="24"/>
        </w:rPr>
        <w:t xml:space="preserve">a mer est </w:t>
      </w:r>
      <w:r w:rsidR="006C5E8E">
        <w:rPr>
          <w:szCs w:val="24"/>
        </w:rPr>
        <w:t>la principale source de danger</w:t>
      </w:r>
      <w:r w:rsidR="00241924">
        <w:rPr>
          <w:szCs w:val="24"/>
        </w:rPr>
        <w:t xml:space="preserve"> (voir figure 7)</w:t>
      </w:r>
      <w:r w:rsidR="008E639C">
        <w:rPr>
          <w:szCs w:val="24"/>
        </w:rPr>
        <w:t xml:space="preserve">. </w:t>
      </w:r>
      <w:r w:rsidR="006C5E8E">
        <w:rPr>
          <w:szCs w:val="24"/>
        </w:rPr>
        <w:t>Les habitants ont tendance</w:t>
      </w:r>
      <w:r w:rsidR="008E639C">
        <w:rPr>
          <w:szCs w:val="24"/>
        </w:rPr>
        <w:t xml:space="preserve"> </w:t>
      </w:r>
      <w:r w:rsidRPr="00747B61">
        <w:rPr>
          <w:szCs w:val="24"/>
        </w:rPr>
        <w:t xml:space="preserve">à considérer que </w:t>
      </w:r>
      <w:r w:rsidR="008E639C">
        <w:rPr>
          <w:szCs w:val="24"/>
        </w:rPr>
        <w:t>leur</w:t>
      </w:r>
      <w:r w:rsidRPr="00747B61">
        <w:rPr>
          <w:szCs w:val="24"/>
        </w:rPr>
        <w:t xml:space="preserve"> lieu de vie est un peu plus affecté que l</w:t>
      </w:r>
      <w:r w:rsidR="006C5E8E">
        <w:rPr>
          <w:szCs w:val="24"/>
        </w:rPr>
        <w:t>es autres</w:t>
      </w:r>
      <w:r>
        <w:rPr>
          <w:szCs w:val="24"/>
        </w:rPr>
        <w:t>.</w:t>
      </w:r>
      <w:r w:rsidR="008C3DCE">
        <w:rPr>
          <w:szCs w:val="24"/>
        </w:rPr>
        <w:t xml:space="preserve"> </w:t>
      </w:r>
      <w:r>
        <w:rPr>
          <w:szCs w:val="24"/>
        </w:rPr>
        <w:t xml:space="preserve">Par ailleurs, les résultats témoignent d’écarts importants </w:t>
      </w:r>
      <w:r w:rsidRPr="00747B61">
        <w:rPr>
          <w:szCs w:val="24"/>
        </w:rPr>
        <w:t>entre les représentations officielles et ce</w:t>
      </w:r>
      <w:r>
        <w:rPr>
          <w:szCs w:val="24"/>
        </w:rPr>
        <w:t>l</w:t>
      </w:r>
      <w:r w:rsidR="00860FAB">
        <w:rPr>
          <w:szCs w:val="24"/>
        </w:rPr>
        <w:t>les d’une majorité d’habitants</w:t>
      </w:r>
      <w:r w:rsidRPr="00991183">
        <w:rPr>
          <w:szCs w:val="24"/>
        </w:rPr>
        <w:t>. La vision des habitants est donc globalement bien différente de celle des experts. Réduire cette différence pourrait être profitable à l’acceptation de la politique publique de gestion du risque, à la connaissance de ce risque et au ren</w:t>
      </w:r>
      <w:r>
        <w:rPr>
          <w:szCs w:val="24"/>
        </w:rPr>
        <w:t xml:space="preserve">forcement des liens de </w:t>
      </w:r>
      <w:r>
        <w:rPr>
          <w:szCs w:val="24"/>
        </w:rPr>
        <w:lastRenderedPageBreak/>
        <w:t>confiance</w:t>
      </w:r>
      <w:r w:rsidRPr="00991183">
        <w:rPr>
          <w:szCs w:val="24"/>
        </w:rPr>
        <w:t xml:space="preserve"> entre la population</w:t>
      </w:r>
      <w:r w:rsidR="00860FAB">
        <w:rPr>
          <w:szCs w:val="24"/>
        </w:rPr>
        <w:t xml:space="preserve"> et les gestionnaires.</w:t>
      </w:r>
      <w:r w:rsidR="00423ABB">
        <w:t xml:space="preserve"> </w:t>
      </w:r>
      <w:r>
        <w:t xml:space="preserve">Ce second résultat </w:t>
      </w:r>
      <w:r w:rsidRPr="002C2716">
        <w:rPr>
          <w:color w:val="000000" w:themeColor="text1"/>
        </w:rPr>
        <w:t>valide</w:t>
      </w:r>
      <w:r w:rsidRPr="002C2716">
        <w:rPr>
          <w:rFonts w:cs="Calibri"/>
          <w:color w:val="000000" w:themeColor="text1"/>
        </w:rPr>
        <w:t> </w:t>
      </w:r>
      <w:r w:rsidRPr="002C2716">
        <w:rPr>
          <w:color w:val="000000" w:themeColor="text1"/>
        </w:rPr>
        <w:t>: (i) l</w:t>
      </w:r>
      <w:r w:rsidRPr="002C2716">
        <w:rPr>
          <w:rFonts w:cs="Modum"/>
          <w:color w:val="000000" w:themeColor="text1"/>
        </w:rPr>
        <w:t>’</w:t>
      </w:r>
      <w:r w:rsidRPr="002C2716">
        <w:rPr>
          <w:color w:val="000000" w:themeColor="text1"/>
        </w:rPr>
        <w:t>influence sur la représentation des facteurs d’impact de la perception</w:t>
      </w:r>
      <w:r w:rsidRPr="002C2716">
        <w:rPr>
          <w:rFonts w:cs="Calibri"/>
          <w:color w:val="000000" w:themeColor="text1"/>
        </w:rPr>
        <w:t> </w:t>
      </w:r>
      <w:r w:rsidRPr="002C2716">
        <w:rPr>
          <w:color w:val="000000" w:themeColor="text1"/>
        </w:rPr>
        <w:t>; (ii) ainsi que l</w:t>
      </w:r>
      <w:r w:rsidRPr="002C2716">
        <w:rPr>
          <w:rFonts w:cs="Modum"/>
          <w:color w:val="000000" w:themeColor="text1"/>
        </w:rPr>
        <w:t>’</w:t>
      </w:r>
      <w:r w:rsidRPr="002C2716">
        <w:rPr>
          <w:color w:val="000000" w:themeColor="text1"/>
        </w:rPr>
        <w:t>existence d</w:t>
      </w:r>
      <w:r w:rsidRPr="002C2716">
        <w:rPr>
          <w:rFonts w:cs="Modum"/>
          <w:color w:val="000000" w:themeColor="text1"/>
        </w:rPr>
        <w:t>’</w:t>
      </w:r>
      <w:r w:rsidRPr="002C2716">
        <w:rPr>
          <w:color w:val="000000" w:themeColor="text1"/>
        </w:rPr>
        <w:t xml:space="preserve">une dichotomie expert/profane, </w:t>
      </w:r>
      <w:r w:rsidRPr="002C2716">
        <w:t xml:space="preserve">fortement discutée en sciences </w:t>
      </w:r>
      <w:proofErr w:type="spellStart"/>
      <w:r w:rsidRPr="002C2716">
        <w:t>cindyniques</w:t>
      </w:r>
      <w:proofErr w:type="spellEnd"/>
      <w:r w:rsidR="00423ABB">
        <w:rPr>
          <w:rStyle w:val="Appelnotedebasdep"/>
        </w:rPr>
        <w:footnoteReference w:id="15"/>
      </w:r>
      <w:r w:rsidRPr="002C2716">
        <w:rPr>
          <w:color w:val="000000" w:themeColor="text1"/>
        </w:rPr>
        <w:t>. Dans le regard ordinaire de l</w:t>
      </w:r>
      <w:r w:rsidRPr="002C2716">
        <w:rPr>
          <w:rFonts w:cs="Modum"/>
          <w:color w:val="000000" w:themeColor="text1"/>
        </w:rPr>
        <w:t>’</w:t>
      </w:r>
      <w:r w:rsidRPr="002C2716">
        <w:rPr>
          <w:color w:val="000000" w:themeColor="text1"/>
        </w:rPr>
        <w:t>habitant lambda, la lecture de l’espace à risque est très basique</w:t>
      </w:r>
      <w:r>
        <w:rPr>
          <w:color w:val="000000" w:themeColor="text1"/>
        </w:rPr>
        <w:t>.</w:t>
      </w:r>
    </w:p>
    <w:p w14:paraId="6C3E7EC5" w14:textId="134C5E66" w:rsidR="00993E29" w:rsidRDefault="00A81371" w:rsidP="00993E29">
      <w:pPr>
        <w:pStyle w:val="Titre2"/>
      </w:pPr>
      <w:r>
        <w:t>La participation financière à la prévention du risque</w:t>
      </w:r>
    </w:p>
    <w:p w14:paraId="710EDB9B" w14:textId="2A4A312E" w:rsidR="00F445A9" w:rsidRPr="00564A08" w:rsidRDefault="00564A08" w:rsidP="00F445A9">
      <w:r>
        <w:t xml:space="preserve">Le troisième résultat majeur concerne la participation financière à la prévention du risque. </w:t>
      </w:r>
      <w:r w:rsidRPr="002C2716">
        <w:t>L’analyse du CAP pour la prévention du risque a mis en avant que : (1) les habitants sont prêts à participer financièrement</w:t>
      </w:r>
      <w:r w:rsidR="00423ABB">
        <w:t xml:space="preserve"> ; (2) la population se répartie</w:t>
      </w:r>
      <w:r w:rsidRPr="002C2716">
        <w:t xml:space="preserve"> entre quatre groupes qui possèdent leur mécanisme de participation financière se rattachant à leur perception du risque.</w:t>
      </w:r>
      <w:r w:rsidR="00423ABB">
        <w:t xml:space="preserve"> </w:t>
      </w:r>
      <w:r w:rsidRPr="002C2716">
        <w:t>La décision de participer financièrement et le montant consenti sont infl</w:t>
      </w:r>
      <w:r>
        <w:t>uencés par de nombreux facteurs.</w:t>
      </w:r>
      <w:r w:rsidR="00A0711E">
        <w:t xml:space="preserve"> </w:t>
      </w:r>
      <w:r>
        <w:t xml:space="preserve">Ces facteurs varient selon les 4 groupes. </w:t>
      </w:r>
      <w:r w:rsidRPr="002C2716">
        <w:t xml:space="preserve">Les groupes </w:t>
      </w:r>
      <w:r>
        <w:t xml:space="preserve">présentent </w:t>
      </w:r>
      <w:r w:rsidRPr="002C2716">
        <w:t xml:space="preserve">des états d’esprit et des comportements </w:t>
      </w:r>
      <w:r>
        <w:t xml:space="preserve">différents </w:t>
      </w:r>
      <w:r w:rsidRPr="002C2716">
        <w:t xml:space="preserve">vis-à-vis du CAP. Les membres d’un même groupe partagent donc des sensibilités à certains facteurs, qui fonctionnement comme des leviers pouvant augmenter ou diminuer leur CAP. </w:t>
      </w:r>
      <w:r>
        <w:t xml:space="preserve">Ces groupes sont </w:t>
      </w:r>
      <w:r w:rsidRPr="002C2716">
        <w:t>: les «</w:t>
      </w:r>
      <w:r w:rsidRPr="002C2716">
        <w:rPr>
          <w:rFonts w:cs="Calibri"/>
        </w:rPr>
        <w:t> </w:t>
      </w:r>
      <w:r w:rsidRPr="002C2716">
        <w:t>r</w:t>
      </w:r>
      <w:r w:rsidRPr="002C2716">
        <w:rPr>
          <w:rFonts w:cs="Modum"/>
        </w:rPr>
        <w:t>é</w:t>
      </w:r>
      <w:r w:rsidRPr="002C2716">
        <w:t>sidents</w:t>
      </w:r>
      <w:r w:rsidRPr="002C2716">
        <w:rPr>
          <w:rFonts w:cs="Calibri"/>
        </w:rPr>
        <w:t> </w:t>
      </w:r>
      <w:r w:rsidRPr="002C2716">
        <w:rPr>
          <w:rFonts w:cs="Modum"/>
        </w:rPr>
        <w:t>»</w:t>
      </w:r>
      <w:r w:rsidRPr="002C2716">
        <w:t xml:space="preserve"> (37% de l</w:t>
      </w:r>
      <w:r w:rsidRPr="002C2716">
        <w:rPr>
          <w:rFonts w:cs="Modum"/>
        </w:rPr>
        <w:t>’é</w:t>
      </w:r>
      <w:r w:rsidRPr="002C2716">
        <w:t xml:space="preserve">chantillon), les </w:t>
      </w:r>
      <w:r w:rsidRPr="002C2716">
        <w:rPr>
          <w:rFonts w:cs="Modum"/>
        </w:rPr>
        <w:t>«</w:t>
      </w:r>
      <w:r w:rsidRPr="002C2716">
        <w:rPr>
          <w:rFonts w:cs="Calibri"/>
        </w:rPr>
        <w:t> </w:t>
      </w:r>
      <w:r w:rsidRPr="002C2716">
        <w:t>pr</w:t>
      </w:r>
      <w:r w:rsidRPr="002C2716">
        <w:rPr>
          <w:rFonts w:cs="Modum"/>
        </w:rPr>
        <w:t>é</w:t>
      </w:r>
      <w:r w:rsidRPr="002C2716">
        <w:t>occup</w:t>
      </w:r>
      <w:r w:rsidRPr="002C2716">
        <w:rPr>
          <w:rFonts w:cs="Modum"/>
        </w:rPr>
        <w:t>é</w:t>
      </w:r>
      <w:r w:rsidRPr="002C2716">
        <w:t>s</w:t>
      </w:r>
      <w:r w:rsidRPr="002C2716">
        <w:rPr>
          <w:rFonts w:cs="Calibri"/>
        </w:rPr>
        <w:t> </w:t>
      </w:r>
      <w:r w:rsidRPr="002C2716">
        <w:rPr>
          <w:rFonts w:cs="Modum"/>
        </w:rPr>
        <w:t>»</w:t>
      </w:r>
      <w:r w:rsidRPr="002C2716">
        <w:t xml:space="preserve"> (24%), les</w:t>
      </w:r>
      <w:r w:rsidRPr="002C2716">
        <w:rPr>
          <w:rFonts w:cs="Calibri"/>
        </w:rPr>
        <w:t> </w:t>
      </w:r>
      <w:r w:rsidRPr="002C2716">
        <w:rPr>
          <w:rFonts w:cs="Modum"/>
        </w:rPr>
        <w:t>«</w:t>
      </w:r>
      <w:r w:rsidRPr="002C2716">
        <w:rPr>
          <w:rFonts w:cs="Calibri"/>
        </w:rPr>
        <w:t> </w:t>
      </w:r>
      <w:r w:rsidRPr="002C2716">
        <w:t>ancr</w:t>
      </w:r>
      <w:r w:rsidRPr="002C2716">
        <w:rPr>
          <w:rFonts w:cs="Modum"/>
        </w:rPr>
        <w:t>é</w:t>
      </w:r>
      <w:r w:rsidRPr="002C2716">
        <w:t>s</w:t>
      </w:r>
      <w:r w:rsidRPr="002C2716">
        <w:rPr>
          <w:rFonts w:cs="Calibri"/>
        </w:rPr>
        <w:t> </w:t>
      </w:r>
      <w:r w:rsidRPr="002C2716">
        <w:rPr>
          <w:rFonts w:cs="Modum"/>
        </w:rPr>
        <w:t>»</w:t>
      </w:r>
      <w:r w:rsidRPr="002C2716">
        <w:t xml:space="preserve"> (18%) et les</w:t>
      </w:r>
      <w:r w:rsidRPr="002C2716">
        <w:rPr>
          <w:rFonts w:cs="Calibri"/>
        </w:rPr>
        <w:t> </w:t>
      </w:r>
      <w:r w:rsidRPr="002C2716">
        <w:rPr>
          <w:rFonts w:cs="Modum"/>
        </w:rPr>
        <w:t>«</w:t>
      </w:r>
      <w:r w:rsidRPr="002C2716">
        <w:rPr>
          <w:rFonts w:cs="Calibri"/>
        </w:rPr>
        <w:t> </w:t>
      </w:r>
      <w:r w:rsidRPr="002C2716">
        <w:t>engag</w:t>
      </w:r>
      <w:r w:rsidRPr="002C2716">
        <w:rPr>
          <w:rFonts w:cs="Modum"/>
        </w:rPr>
        <w:t>é</w:t>
      </w:r>
      <w:r w:rsidRPr="002C2716">
        <w:t>s</w:t>
      </w:r>
      <w:r w:rsidRPr="002C2716">
        <w:rPr>
          <w:rFonts w:cs="Calibri"/>
        </w:rPr>
        <w:t> </w:t>
      </w:r>
      <w:r w:rsidRPr="002C2716">
        <w:rPr>
          <w:rFonts w:cs="Modum"/>
        </w:rPr>
        <w:t>»</w:t>
      </w:r>
      <w:r w:rsidR="00A0711E">
        <w:t xml:space="preserve"> (20%) (</w:t>
      </w:r>
      <w:r w:rsidR="00A0711E" w:rsidRPr="00241924">
        <w:t xml:space="preserve">voir figure </w:t>
      </w:r>
      <w:r w:rsidR="00241924" w:rsidRPr="00241924">
        <w:t>8</w:t>
      </w:r>
      <w:r w:rsidR="00A0711E">
        <w:t xml:space="preserve">). </w:t>
      </w:r>
      <w:r w:rsidRPr="002C2716">
        <w:t>L’analyse révèle vulnérabilité au risque et des capacités d’adaptation et de résilience qui varient selon les groupes.</w:t>
      </w:r>
      <w:r>
        <w:t xml:space="preserve"> Ainsi, les résidents et les préoccupés paient moins et sont globalement plus vulnérables et moins résilients que les ancrés et les engagés.</w:t>
      </w:r>
    </w:p>
    <w:p w14:paraId="51FC7F0F" w14:textId="3C4CFFF0" w:rsidR="00993E29" w:rsidRDefault="00993E29" w:rsidP="00993E29">
      <w:pPr>
        <w:pStyle w:val="Titre2"/>
      </w:pPr>
      <w:r>
        <w:t>Les leviers d’adaptation</w:t>
      </w:r>
    </w:p>
    <w:p w14:paraId="7F50F30C" w14:textId="154EADD6" w:rsidR="00564A08" w:rsidRPr="0046517A" w:rsidRDefault="00B03CD8" w:rsidP="00564A08">
      <w:r w:rsidRPr="000A34E0">
        <w:t>L’analyse de l’enquête permet d’apporter 4 leviers d’adaptation pour la politique de gestion locale du risque d’inondation</w:t>
      </w:r>
      <w:r w:rsidR="00A0711E">
        <w:t xml:space="preserve"> (</w:t>
      </w:r>
      <w:r w:rsidR="00A0711E" w:rsidRPr="00241924">
        <w:t xml:space="preserve">voir figure </w:t>
      </w:r>
      <w:r w:rsidR="00241924" w:rsidRPr="00241924">
        <w:t>9</w:t>
      </w:r>
      <w:r w:rsidR="00A0711E">
        <w:t>)</w:t>
      </w:r>
      <w:r>
        <w:t xml:space="preserve">. </w:t>
      </w:r>
      <w:r w:rsidR="000A34E0">
        <w:t xml:space="preserve">(I) </w:t>
      </w:r>
      <w:r w:rsidR="00564A08" w:rsidRPr="006B757D">
        <w:t xml:space="preserve">Le premier porte sur l’acculturation de la population à travers le lancement d’une campagne d’information et de sensibilisation. </w:t>
      </w:r>
      <w:r w:rsidR="000A34E0">
        <w:t xml:space="preserve">(II) </w:t>
      </w:r>
      <w:r w:rsidR="00564A08">
        <w:t>Le second levier porte sur la variation d</w:t>
      </w:r>
      <w:r w:rsidR="00564A08" w:rsidRPr="006B757D">
        <w:t>es supports de communication</w:t>
      </w:r>
      <w:r w:rsidR="00564A08">
        <w:t>.</w:t>
      </w:r>
      <w:r w:rsidR="00564A08" w:rsidRPr="00641128">
        <w:t xml:space="preserve"> La communication par les médias traditionnels (presse, télévision, radio) peut être privilégiée, car il s’agit du vecteur d’informations préféré des habitants. </w:t>
      </w:r>
      <w:r>
        <w:t xml:space="preserve">Cependant, </w:t>
      </w:r>
      <w:r w:rsidR="00564A08" w:rsidRPr="00641128">
        <w:t>l</w:t>
      </w:r>
      <w:r>
        <w:t xml:space="preserve">es </w:t>
      </w:r>
      <w:r w:rsidR="00564A08">
        <w:t>médias traditionnels ne seront probablement pas suffisants pour sensibiliser réellement la population</w:t>
      </w:r>
      <w:r>
        <w:t xml:space="preserve"> et d’autres options doivent être envisagées</w:t>
      </w:r>
      <w:r w:rsidR="00564A08">
        <w:t>.</w:t>
      </w:r>
      <w:r>
        <w:t xml:space="preserve"> </w:t>
      </w:r>
      <w:r w:rsidR="000A34E0">
        <w:t xml:space="preserve">(III) </w:t>
      </w:r>
      <w:r w:rsidR="00564A08">
        <w:t xml:space="preserve">Le troisième levier porte sur l’amélioration de </w:t>
      </w:r>
      <w:r w:rsidR="00564A08" w:rsidRPr="0046517A">
        <w:t>la</w:t>
      </w:r>
      <w:r w:rsidR="00564A08">
        <w:t xml:space="preserve"> participation des habitants. I</w:t>
      </w:r>
      <w:r w:rsidR="00564A08" w:rsidRPr="00C16680">
        <w:t>l semble particulièrement pertinent d’offrir davantage de possibilités de particip</w:t>
      </w:r>
      <w:r w:rsidR="000A34E0">
        <w:t xml:space="preserve">ation aux habitants car </w:t>
      </w:r>
      <w:r w:rsidR="000A34E0" w:rsidRPr="00C16680">
        <w:t>une majorité d’habitants se déclare prête à participer aux instances publiques et actions de prévention du risque d’inondation</w:t>
      </w:r>
      <w:r w:rsidR="00564A08" w:rsidRPr="00C16680">
        <w:t>.</w:t>
      </w:r>
      <w:r w:rsidR="000A34E0">
        <w:t xml:space="preserve"> (IV) </w:t>
      </w:r>
      <w:r w:rsidR="00564A08">
        <w:t>Le quatrième levier concerne le développement</w:t>
      </w:r>
      <w:r w:rsidR="00564A08" w:rsidRPr="0046517A">
        <w:t xml:space="preserve"> des liens de confiance entre </w:t>
      </w:r>
      <w:r w:rsidR="00564A08">
        <w:t xml:space="preserve">les </w:t>
      </w:r>
      <w:r w:rsidR="00564A08" w:rsidRPr="0046517A">
        <w:t xml:space="preserve">habitants et </w:t>
      </w:r>
      <w:r w:rsidR="00564A08">
        <w:t xml:space="preserve">les </w:t>
      </w:r>
      <w:r w:rsidR="00564A08" w:rsidRPr="0046517A">
        <w:t>gestionnaires.</w:t>
      </w:r>
      <w:r w:rsidR="00564A08" w:rsidRPr="00CF1F62">
        <w:t xml:space="preserve"> L’adhésion des habitants à la politique de gestion du risque dépend en p</w:t>
      </w:r>
      <w:r w:rsidR="00241924">
        <w:t>artie de la confiance existante</w:t>
      </w:r>
      <w:r w:rsidR="000A34E0">
        <w:t xml:space="preserve">. A travers ces 4 leviers, </w:t>
      </w:r>
      <w:r w:rsidR="00564A08" w:rsidRPr="0046517A">
        <w:t xml:space="preserve">l’enquête </w:t>
      </w:r>
      <w:r w:rsidR="000A34E0">
        <w:t>apporte</w:t>
      </w:r>
      <w:r w:rsidR="00564A08" w:rsidRPr="0046517A">
        <w:t xml:space="preserve"> de nombreuses suggestions pour la politique de gestion locale du risque d’inondation, afin que celle-ci soit plus en cohérence avec les enjeux et les besoins de la population</w:t>
      </w:r>
      <w:r w:rsidR="00564A08">
        <w:t>.</w:t>
      </w:r>
    </w:p>
    <w:p w14:paraId="620BBEF2" w14:textId="77777777" w:rsidR="00F445A9" w:rsidRPr="00564A08" w:rsidRDefault="00F445A9" w:rsidP="00F445A9">
      <w:pPr>
        <w:rPr>
          <w:b/>
        </w:rPr>
      </w:pPr>
    </w:p>
    <w:p w14:paraId="4F1483DD" w14:textId="49BF29C2" w:rsidR="008E639C" w:rsidRPr="00911CDB" w:rsidRDefault="008E639C" w:rsidP="008E639C">
      <w:pPr>
        <w:pStyle w:val="Titre1"/>
        <w:numPr>
          <w:ilvl w:val="0"/>
          <w:numId w:val="0"/>
        </w:numPr>
        <w:ind w:left="432" w:hanging="432"/>
      </w:pPr>
      <w:r>
        <w:t>FIGURES</w:t>
      </w:r>
    </w:p>
    <w:p w14:paraId="7909A48F" w14:textId="77777777" w:rsidR="00C428B8" w:rsidRDefault="00C428B8" w:rsidP="00F73FBD"/>
    <w:p w14:paraId="1BAF0D51" w14:textId="53713A95" w:rsidR="000D42AE" w:rsidRDefault="000D42AE" w:rsidP="00F73FBD">
      <w:r>
        <w:rPr>
          <w:noProof/>
          <w:lang w:eastAsia="fr-FR"/>
        </w:rPr>
        <w:drawing>
          <wp:inline distT="0" distB="0" distL="0" distR="0" wp14:anchorId="189833A4" wp14:editId="1BB03F18">
            <wp:extent cx="5749290" cy="2451100"/>
            <wp:effectExtent l="0" t="0" r="0" b="12700"/>
            <wp:docPr id="14" name="Image 14" descr="../../../../Users/n_v/Desktop/Capture%20d’écran%202019-04-15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Users/n_v/Desktop/Capture%20d’écran%202019-04-15%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E972C" w14:textId="67D5E23E" w:rsidR="000D42AE" w:rsidRDefault="000D42AE" w:rsidP="000D42AE">
      <w:pPr>
        <w:pStyle w:val="Legendes"/>
      </w:pPr>
      <w:r>
        <w:t xml:space="preserve">Figure 1. La perception du risque – facteurs et biais (source : </w:t>
      </w:r>
      <w:proofErr w:type="spellStart"/>
      <w:r>
        <w:t>n.v</w:t>
      </w:r>
      <w:proofErr w:type="spellEnd"/>
      <w:r>
        <w:t>.)</w:t>
      </w:r>
    </w:p>
    <w:p w14:paraId="11CC8414" w14:textId="77777777" w:rsidR="000D42AE" w:rsidRDefault="000D42AE" w:rsidP="000D42AE">
      <w:pPr>
        <w:pStyle w:val="Legendes"/>
      </w:pPr>
    </w:p>
    <w:p w14:paraId="0184DC9D" w14:textId="67D5E23E" w:rsidR="00A73A33" w:rsidRDefault="00A73A33" w:rsidP="000D42AE">
      <w:pPr>
        <w:jc w:val="center"/>
      </w:pPr>
      <w:r w:rsidRPr="00A73A33">
        <w:rPr>
          <w:noProof/>
          <w:lang w:eastAsia="fr-FR"/>
        </w:rPr>
        <w:drawing>
          <wp:inline distT="0" distB="0" distL="0" distR="0" wp14:anchorId="006EB84B" wp14:editId="65C3981A">
            <wp:extent cx="4042207" cy="2858329"/>
            <wp:effectExtent l="25400" t="25400" r="22225" b="37465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819" cy="28637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54072F" w14:textId="1355457C" w:rsidR="00A73A33" w:rsidRDefault="000D42AE" w:rsidP="00A73A33">
      <w:pPr>
        <w:pStyle w:val="Legendes"/>
      </w:pPr>
      <w:r>
        <w:t xml:space="preserve">Figure 2. </w:t>
      </w:r>
      <w:r w:rsidR="00A73A33">
        <w:t xml:space="preserve">La communauté urbaine de Dunkerque (source : </w:t>
      </w:r>
      <w:proofErr w:type="spellStart"/>
      <w:r w:rsidR="00A73A33">
        <w:t>n.v</w:t>
      </w:r>
      <w:proofErr w:type="spellEnd"/>
      <w:r w:rsidR="00A73A33">
        <w:t>.)</w:t>
      </w:r>
    </w:p>
    <w:p w14:paraId="2DA61AB4" w14:textId="77777777" w:rsidR="00A73A33" w:rsidRPr="00911CDB" w:rsidRDefault="00A73A33" w:rsidP="00A73A33">
      <w:pPr>
        <w:pStyle w:val="Legendes"/>
      </w:pPr>
    </w:p>
    <w:p w14:paraId="1E7D61F2" w14:textId="77777777" w:rsidR="00A73A33" w:rsidRDefault="00A73A33" w:rsidP="00F73FBD"/>
    <w:p w14:paraId="24F06036" w14:textId="0244CC8B" w:rsidR="00A73A33" w:rsidRDefault="00A73A33" w:rsidP="000D42AE">
      <w:pPr>
        <w:jc w:val="center"/>
      </w:pPr>
      <w:r w:rsidRPr="00A73A33">
        <w:rPr>
          <w:noProof/>
          <w:lang w:eastAsia="fr-FR"/>
        </w:rPr>
        <w:lastRenderedPageBreak/>
        <w:drawing>
          <wp:inline distT="0" distB="0" distL="0" distR="0" wp14:anchorId="24678F38" wp14:editId="192C9A94">
            <wp:extent cx="4183258" cy="2958530"/>
            <wp:effectExtent l="25400" t="25400" r="33655" b="13335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168" cy="2969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C77C66" w14:textId="06C31FE3" w:rsidR="00A73A33" w:rsidRPr="00911CDB" w:rsidRDefault="000D42AE" w:rsidP="00A73A33">
      <w:pPr>
        <w:pStyle w:val="Legendes"/>
      </w:pPr>
      <w:r>
        <w:t xml:space="preserve">Figure 3. </w:t>
      </w:r>
      <w:r w:rsidR="00A73A33">
        <w:t xml:space="preserve">Un territoire situé à la conjonction des risques (source : </w:t>
      </w:r>
      <w:proofErr w:type="spellStart"/>
      <w:r w:rsidR="00A73A33">
        <w:t>n.v</w:t>
      </w:r>
      <w:proofErr w:type="spellEnd"/>
      <w:r w:rsidR="00A73A33">
        <w:t>.)</w:t>
      </w:r>
    </w:p>
    <w:p w14:paraId="4B23513D" w14:textId="77777777" w:rsidR="00A73A33" w:rsidRDefault="00A73A33" w:rsidP="00F73FBD"/>
    <w:p w14:paraId="7B69F65B" w14:textId="028FF0F1" w:rsidR="00A73A33" w:rsidRDefault="00A73A33" w:rsidP="000D42AE">
      <w:pPr>
        <w:jc w:val="center"/>
      </w:pPr>
      <w:r w:rsidRPr="00A73A33">
        <w:rPr>
          <w:noProof/>
          <w:lang w:eastAsia="fr-FR"/>
        </w:rPr>
        <w:drawing>
          <wp:inline distT="0" distB="0" distL="0" distR="0" wp14:anchorId="671AF9FB" wp14:editId="4E4503AF">
            <wp:extent cx="4042207" cy="2923270"/>
            <wp:effectExtent l="25400" t="25400" r="22225" b="23495"/>
            <wp:docPr id="6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411" cy="29277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133877" w14:textId="53D2FD9C" w:rsidR="00A73A33" w:rsidRDefault="000D42AE" w:rsidP="00A73A33">
      <w:pPr>
        <w:pStyle w:val="Legendes"/>
      </w:pPr>
      <w:r>
        <w:t xml:space="preserve">Figure 4. </w:t>
      </w:r>
      <w:r w:rsidR="00A73A33">
        <w:t xml:space="preserve">Les 5 terrains d’enquête (source : </w:t>
      </w:r>
      <w:proofErr w:type="spellStart"/>
      <w:r w:rsidR="00A73A33">
        <w:t>n.v</w:t>
      </w:r>
      <w:proofErr w:type="spellEnd"/>
      <w:r w:rsidR="00A73A33">
        <w:t>.)</w:t>
      </w:r>
    </w:p>
    <w:p w14:paraId="1AA19ED8" w14:textId="77777777" w:rsidR="00A73A33" w:rsidRDefault="00A73A33" w:rsidP="00A73A33">
      <w:pPr>
        <w:pStyle w:val="Legendes"/>
      </w:pPr>
    </w:p>
    <w:p w14:paraId="455783EF" w14:textId="54F742FD" w:rsidR="00A73A33" w:rsidRDefault="000D42AE" w:rsidP="00A73A33">
      <w:pPr>
        <w:pStyle w:val="Legendes"/>
      </w:pPr>
      <w:r w:rsidRPr="000D42AE">
        <w:rPr>
          <w:noProof/>
        </w:rPr>
        <w:lastRenderedPageBreak/>
        <w:drawing>
          <wp:inline distT="0" distB="0" distL="0" distR="0" wp14:anchorId="2CD1C3F8" wp14:editId="2399A879">
            <wp:extent cx="4728007" cy="3494770"/>
            <wp:effectExtent l="25400" t="25400" r="22225" b="36195"/>
            <wp:docPr id="9" name="Espace réservé du contenu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pace réservé du contenu 5"/>
                    <pic:cNvPicPr>
                      <a:picLocks noGrp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2490" cy="35054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81FA40" w14:textId="2418DCA2" w:rsidR="000D42AE" w:rsidRDefault="000D42AE" w:rsidP="000D42AE">
      <w:pPr>
        <w:pStyle w:val="Legendes"/>
      </w:pPr>
      <w:r>
        <w:t xml:space="preserve">Figure 5. </w:t>
      </w:r>
      <w:r w:rsidR="00B50E51">
        <w:t xml:space="preserve">La préoccupation pour les risques </w:t>
      </w:r>
      <w:r>
        <w:t xml:space="preserve">(source : </w:t>
      </w:r>
      <w:proofErr w:type="spellStart"/>
      <w:r>
        <w:t>n.v</w:t>
      </w:r>
      <w:proofErr w:type="spellEnd"/>
      <w:r>
        <w:t>.)</w:t>
      </w:r>
    </w:p>
    <w:p w14:paraId="1A2D99A6" w14:textId="2200910E" w:rsidR="007904AA" w:rsidRDefault="007904AA" w:rsidP="000D42AE">
      <w:pPr>
        <w:pStyle w:val="Legendes"/>
      </w:pPr>
      <w:r>
        <w:t>Question posée : quel est le risque que vous craignez le plus pour vous et pour vos proches ? le deuxième ? le troisième ?</w:t>
      </w:r>
    </w:p>
    <w:p w14:paraId="09624F3A" w14:textId="77777777" w:rsidR="000D42AE" w:rsidRDefault="000D42AE" w:rsidP="000D42AE">
      <w:pPr>
        <w:pStyle w:val="Legendes"/>
      </w:pPr>
    </w:p>
    <w:p w14:paraId="1B86147A" w14:textId="0F45C4EB" w:rsidR="000D42AE" w:rsidRDefault="000D42AE" w:rsidP="000D42AE">
      <w:pPr>
        <w:pStyle w:val="Legendes"/>
      </w:pPr>
      <w:r>
        <w:rPr>
          <w:noProof/>
        </w:rPr>
        <w:drawing>
          <wp:inline distT="0" distB="0" distL="0" distR="0" wp14:anchorId="467A498D" wp14:editId="6788F7B7">
            <wp:extent cx="3018371" cy="2545428"/>
            <wp:effectExtent l="0" t="0" r="4445" b="0"/>
            <wp:docPr id="13" name="Image 13" descr="../../../../Users/n_v/Desktop/Capture%20d’écran%202019-04-15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Users/n_v/Desktop/Capture%20d’écran%202019-04-15%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390" cy="254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A4A5B" w14:textId="2571FB8B" w:rsidR="000D42AE" w:rsidRDefault="000D42AE" w:rsidP="000D42AE">
      <w:pPr>
        <w:pStyle w:val="Legendes"/>
      </w:pPr>
      <w:r>
        <w:t xml:space="preserve">Figure 6. Nuage de mots – la mer perçue comme source d’aménités (source : </w:t>
      </w:r>
      <w:proofErr w:type="spellStart"/>
      <w:r>
        <w:t>n.v</w:t>
      </w:r>
      <w:proofErr w:type="spellEnd"/>
      <w:r>
        <w:t>.)</w:t>
      </w:r>
    </w:p>
    <w:p w14:paraId="0AC977D8" w14:textId="23CEE99A" w:rsidR="007904AA" w:rsidRDefault="007904AA" w:rsidP="000D42AE">
      <w:pPr>
        <w:pStyle w:val="Legendes"/>
      </w:pPr>
      <w:r>
        <w:t>Question posée : quels sont les trois mots qui vous viennent à l’esprit quand on vous parle de la mer ? le deuxième ? le troisième ?</w:t>
      </w:r>
    </w:p>
    <w:p w14:paraId="01CC4CD6" w14:textId="77777777" w:rsidR="000D42AE" w:rsidRDefault="000D42AE" w:rsidP="000D42AE">
      <w:pPr>
        <w:pStyle w:val="Legendes"/>
      </w:pPr>
    </w:p>
    <w:p w14:paraId="15AC7048" w14:textId="290570D3" w:rsidR="000D42AE" w:rsidRDefault="000D42AE" w:rsidP="000D42AE">
      <w:pPr>
        <w:pStyle w:val="Legendes"/>
      </w:pPr>
      <w:r w:rsidRPr="000D42AE">
        <w:rPr>
          <w:noProof/>
        </w:rPr>
        <w:lastRenderedPageBreak/>
        <w:drawing>
          <wp:inline distT="0" distB="0" distL="0" distR="0" wp14:anchorId="50C6056D" wp14:editId="4D1C56E0">
            <wp:extent cx="5760720" cy="4073525"/>
            <wp:effectExtent l="25400" t="25400" r="30480" b="15875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B36E7C" w14:textId="4F94CFE5" w:rsidR="000D42AE" w:rsidRDefault="000D42AE" w:rsidP="000D42AE">
      <w:pPr>
        <w:pStyle w:val="Legendes"/>
      </w:pPr>
      <w:r>
        <w:t xml:space="preserve">Figure 7. Carte </w:t>
      </w:r>
      <w:r w:rsidR="00B50E51">
        <w:t>cognitive</w:t>
      </w:r>
      <w:r>
        <w:t xml:space="preserve"> des 3 terrains de Dunkerque</w:t>
      </w:r>
      <w:r w:rsidR="009814A7">
        <w:t xml:space="preserve"> cumulés</w:t>
      </w:r>
      <w:r w:rsidR="007904AA">
        <w:t xml:space="preserve"> (</w:t>
      </w:r>
      <w:proofErr w:type="spellStart"/>
      <w:r w:rsidR="007904AA">
        <w:t>Rosendaël</w:t>
      </w:r>
      <w:proofErr w:type="spellEnd"/>
      <w:r w:rsidR="007904AA">
        <w:t>, Malo-les-Bains, Grand Large)</w:t>
      </w:r>
      <w:r>
        <w:t xml:space="preserve"> (source : </w:t>
      </w:r>
      <w:proofErr w:type="spellStart"/>
      <w:r>
        <w:t>n.v</w:t>
      </w:r>
      <w:proofErr w:type="spellEnd"/>
      <w:r>
        <w:t>.)</w:t>
      </w:r>
    </w:p>
    <w:p w14:paraId="53E48466" w14:textId="37CA371C" w:rsidR="007904AA" w:rsidRDefault="007904AA" w:rsidP="000D42AE">
      <w:pPr>
        <w:pStyle w:val="Legendes"/>
      </w:pPr>
      <w:r>
        <w:t>Question posée : pouvez-vous entourer les zones que vous pensez concernées par le risque d’inondation ?</w:t>
      </w:r>
    </w:p>
    <w:p w14:paraId="13878F71" w14:textId="77777777" w:rsidR="000D42AE" w:rsidRDefault="000D42AE" w:rsidP="000D42AE">
      <w:pPr>
        <w:pStyle w:val="Legendes"/>
      </w:pPr>
    </w:p>
    <w:p w14:paraId="529692FA" w14:textId="4DE7741B" w:rsidR="000D42AE" w:rsidRDefault="000D42AE" w:rsidP="000D42AE">
      <w:pPr>
        <w:pStyle w:val="Legendes"/>
      </w:pPr>
      <w:r w:rsidRPr="000D42AE">
        <w:rPr>
          <w:noProof/>
        </w:rPr>
        <w:lastRenderedPageBreak/>
        <w:drawing>
          <wp:inline distT="0" distB="0" distL="0" distR="0" wp14:anchorId="435E1796" wp14:editId="44B76BF2">
            <wp:extent cx="5671590" cy="4123656"/>
            <wp:effectExtent l="0" t="0" r="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0849" cy="41303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25454" w14:textId="04B17430" w:rsidR="000D42AE" w:rsidRDefault="000D42AE" w:rsidP="000D42AE">
      <w:pPr>
        <w:pStyle w:val="Legendes"/>
      </w:pPr>
      <w:r>
        <w:t xml:space="preserve">Figure 8. Le CAP selon les 4 groupes (source : </w:t>
      </w:r>
      <w:proofErr w:type="spellStart"/>
      <w:r>
        <w:t>n.v</w:t>
      </w:r>
      <w:proofErr w:type="spellEnd"/>
      <w:r>
        <w:t>.)</w:t>
      </w:r>
    </w:p>
    <w:p w14:paraId="5CE477D2" w14:textId="77777777" w:rsidR="000D42AE" w:rsidRDefault="000D42AE" w:rsidP="000D42AE">
      <w:pPr>
        <w:pStyle w:val="Legendes"/>
      </w:pPr>
    </w:p>
    <w:p w14:paraId="17BB64B5" w14:textId="5068BA23" w:rsidR="00A73A33" w:rsidRDefault="000D42AE" w:rsidP="00F73FBD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0B9297DF" wp14:editId="441ABA45">
            <wp:extent cx="5758815" cy="1517650"/>
            <wp:effectExtent l="0" t="0" r="6985" b="6350"/>
            <wp:docPr id="12" name="Image 12" descr="../../../../Users/n_v/Desktop/Capture%20d’écran%202019-04-15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Users/n_v/Desktop/Capture%20d’écran%202019-04-15%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6BEE9" w14:textId="5BBA24B9" w:rsidR="000D42AE" w:rsidRDefault="000D42AE" w:rsidP="000D42AE">
      <w:pPr>
        <w:pStyle w:val="Legendes"/>
      </w:pPr>
      <w:r>
        <w:t xml:space="preserve">Figure 9. Les 4 leviers d’adaptation (source : </w:t>
      </w:r>
      <w:proofErr w:type="spellStart"/>
      <w:r>
        <w:t>n.v</w:t>
      </w:r>
      <w:proofErr w:type="spellEnd"/>
      <w:r>
        <w:t>.)</w:t>
      </w:r>
    </w:p>
    <w:p w14:paraId="2E7D1B3B" w14:textId="77777777" w:rsidR="00F73FBD" w:rsidRPr="00911CDB" w:rsidRDefault="00F73FBD" w:rsidP="00F73FBD"/>
    <w:p w14:paraId="108A6D65" w14:textId="6FFE7774" w:rsidR="00F73FBD" w:rsidRPr="00911CDB" w:rsidRDefault="00F73FBD" w:rsidP="001E66D7">
      <w:pPr>
        <w:pStyle w:val="Titre1"/>
        <w:numPr>
          <w:ilvl w:val="0"/>
          <w:numId w:val="0"/>
        </w:numPr>
        <w:ind w:left="432" w:hanging="432"/>
      </w:pPr>
      <w:r w:rsidRPr="00911CDB">
        <w:t>Bibliographie</w:t>
      </w:r>
      <w:r w:rsidR="00D33601">
        <w:t xml:space="preserve"> (ordre d’apparition dans le texte)</w:t>
      </w:r>
    </w:p>
    <w:p w14:paraId="2D23339E" w14:textId="77777777" w:rsidR="00E80ED8" w:rsidRDefault="00E80ED8" w:rsidP="007603C7">
      <w:pPr>
        <w:pStyle w:val="Notedebasdepage"/>
        <w:rPr>
          <w:rFonts w:ascii="Century Gothic" w:hAnsi="Century Gothic"/>
          <w:sz w:val="18"/>
        </w:rPr>
      </w:pPr>
    </w:p>
    <w:p w14:paraId="6A773BA7" w14:textId="77777777" w:rsidR="00E80ED8" w:rsidRPr="00D33601" w:rsidRDefault="00E80ED8" w:rsidP="00E80ED8">
      <w:pPr>
        <w:pStyle w:val="biblio"/>
        <w:spacing w:afterLines="100" w:after="240"/>
        <w:rPr>
          <w:rFonts w:ascii="Century Gothic" w:hAnsi="Century Gothic"/>
          <w:sz w:val="22"/>
          <w:lang w:val="en-US"/>
        </w:rPr>
      </w:pPr>
      <w:proofErr w:type="spellStart"/>
      <w:r w:rsidRPr="00D33601">
        <w:rPr>
          <w:rFonts w:ascii="Century Gothic" w:hAnsi="Century Gothic"/>
          <w:sz w:val="22"/>
          <w:lang w:val="en-US"/>
        </w:rPr>
        <w:t>Kellens</w:t>
      </w:r>
      <w:proofErr w:type="spellEnd"/>
      <w:r w:rsidRPr="00D33601">
        <w:rPr>
          <w:rFonts w:ascii="Century Gothic" w:hAnsi="Century Gothic"/>
          <w:sz w:val="22"/>
          <w:lang w:val="en-US"/>
        </w:rPr>
        <w:t xml:space="preserve"> W., </w:t>
      </w:r>
      <w:proofErr w:type="spellStart"/>
      <w:r w:rsidRPr="00D33601">
        <w:rPr>
          <w:rFonts w:ascii="Century Gothic" w:hAnsi="Century Gothic"/>
          <w:sz w:val="22"/>
          <w:lang w:val="en-US"/>
        </w:rPr>
        <w:t>Terpstra</w:t>
      </w:r>
      <w:proofErr w:type="spellEnd"/>
      <w:r w:rsidRPr="00D33601">
        <w:rPr>
          <w:rFonts w:ascii="Century Gothic" w:hAnsi="Century Gothic"/>
          <w:sz w:val="22"/>
          <w:lang w:val="en-US"/>
        </w:rPr>
        <w:t xml:space="preserve"> T., De </w:t>
      </w:r>
      <w:proofErr w:type="spellStart"/>
      <w:r w:rsidRPr="00D33601">
        <w:rPr>
          <w:rFonts w:ascii="Century Gothic" w:hAnsi="Century Gothic"/>
          <w:sz w:val="22"/>
          <w:lang w:val="en-US"/>
        </w:rPr>
        <w:t>Maeyer</w:t>
      </w:r>
      <w:proofErr w:type="spellEnd"/>
      <w:r w:rsidRPr="00D33601">
        <w:rPr>
          <w:rFonts w:ascii="Century Gothic" w:hAnsi="Century Gothic"/>
          <w:sz w:val="22"/>
          <w:lang w:val="en-US"/>
        </w:rPr>
        <w:t xml:space="preserve"> P., 2013, </w:t>
      </w:r>
      <w:r w:rsidRPr="00D33601">
        <w:rPr>
          <w:rFonts w:ascii="Century Gothic" w:hAnsi="Century Gothic"/>
          <w:i/>
          <w:sz w:val="22"/>
          <w:lang w:val="en-US"/>
        </w:rPr>
        <w:t>Perception and communication of flood risks: a systematic review of empirical research</w:t>
      </w:r>
      <w:r w:rsidRPr="00D33601">
        <w:rPr>
          <w:rFonts w:ascii="Century Gothic" w:hAnsi="Century Gothic"/>
          <w:sz w:val="22"/>
          <w:lang w:val="en-US"/>
        </w:rPr>
        <w:t>, Risk Analysis, Vol.33, No.1, pp.24-49</w:t>
      </w:r>
    </w:p>
    <w:p w14:paraId="3CEFA1A3" w14:textId="77777777" w:rsidR="00E80ED8" w:rsidRPr="00D33601" w:rsidRDefault="00E80ED8" w:rsidP="00E80ED8">
      <w:pPr>
        <w:pStyle w:val="biblio"/>
        <w:spacing w:afterLines="100" w:after="240"/>
        <w:rPr>
          <w:rFonts w:ascii="Century Gothic" w:hAnsi="Century Gothic"/>
          <w:sz w:val="22"/>
          <w:lang w:val="en-US"/>
        </w:rPr>
      </w:pPr>
      <w:r w:rsidRPr="00D33601">
        <w:rPr>
          <w:rFonts w:ascii="Century Gothic" w:hAnsi="Century Gothic"/>
          <w:sz w:val="22"/>
          <w:lang w:val="en-US"/>
        </w:rPr>
        <w:t xml:space="preserve">Ahern M., </w:t>
      </w:r>
      <w:proofErr w:type="spellStart"/>
      <w:r w:rsidRPr="00D33601">
        <w:rPr>
          <w:rFonts w:ascii="Century Gothic" w:hAnsi="Century Gothic"/>
          <w:sz w:val="22"/>
          <w:lang w:val="en-US"/>
        </w:rPr>
        <w:t>Kovats</w:t>
      </w:r>
      <w:proofErr w:type="spellEnd"/>
      <w:r w:rsidRPr="00D33601">
        <w:rPr>
          <w:rFonts w:ascii="Century Gothic" w:hAnsi="Century Gothic"/>
          <w:sz w:val="22"/>
          <w:lang w:val="en-US"/>
        </w:rPr>
        <w:t xml:space="preserve"> S.R., Wilkinson P., Few R., </w:t>
      </w:r>
      <w:proofErr w:type="spellStart"/>
      <w:r w:rsidRPr="00D33601">
        <w:rPr>
          <w:rFonts w:ascii="Century Gothic" w:hAnsi="Century Gothic"/>
          <w:sz w:val="22"/>
          <w:lang w:val="en-US"/>
        </w:rPr>
        <w:t>Matthies</w:t>
      </w:r>
      <w:proofErr w:type="spellEnd"/>
      <w:r w:rsidRPr="00D33601">
        <w:rPr>
          <w:rFonts w:ascii="Century Gothic" w:hAnsi="Century Gothic"/>
          <w:sz w:val="22"/>
          <w:lang w:val="en-US"/>
        </w:rPr>
        <w:t xml:space="preserve"> F., 2005, “Global Health Impacts of Floods: Epidemiologic Evidence”, </w:t>
      </w:r>
      <w:r w:rsidRPr="00D33601">
        <w:rPr>
          <w:rFonts w:ascii="Century Gothic" w:hAnsi="Century Gothic"/>
          <w:i/>
          <w:sz w:val="22"/>
          <w:lang w:val="en-US"/>
        </w:rPr>
        <w:t>Epidemiologic Reviews</w:t>
      </w:r>
      <w:r w:rsidRPr="00D33601">
        <w:rPr>
          <w:rFonts w:ascii="Century Gothic" w:hAnsi="Century Gothic"/>
          <w:sz w:val="22"/>
          <w:lang w:val="en-US"/>
        </w:rPr>
        <w:t>, Vol.27, No.1, pp.36-46</w:t>
      </w:r>
    </w:p>
    <w:p w14:paraId="604BA896" w14:textId="77777777" w:rsidR="00E80ED8" w:rsidRPr="00D33601" w:rsidRDefault="00E80ED8" w:rsidP="00E80ED8">
      <w:pPr>
        <w:pStyle w:val="biblio"/>
        <w:spacing w:afterLines="100" w:after="240"/>
        <w:rPr>
          <w:rFonts w:ascii="Century Gothic" w:hAnsi="Century Gothic"/>
          <w:sz w:val="22"/>
        </w:rPr>
      </w:pPr>
      <w:r w:rsidRPr="00D33601">
        <w:rPr>
          <w:rFonts w:ascii="Century Gothic" w:hAnsi="Century Gothic"/>
          <w:sz w:val="22"/>
        </w:rPr>
        <w:lastRenderedPageBreak/>
        <w:t xml:space="preserve">Ahmad Q-K., 2006, </w:t>
      </w:r>
      <w:r w:rsidRPr="00D33601">
        <w:rPr>
          <w:rFonts w:ascii="Century Gothic" w:hAnsi="Century Gothic"/>
          <w:i/>
          <w:sz w:val="22"/>
        </w:rPr>
        <w:t>Changement climatique, inondation et gestion des crues : le cas du Bangladesh</w:t>
      </w:r>
      <w:r w:rsidRPr="00D33601">
        <w:rPr>
          <w:rFonts w:ascii="Century Gothic" w:hAnsi="Century Gothic"/>
          <w:sz w:val="22"/>
        </w:rPr>
        <w:t>, Hérodote, No.121, pp.73-94</w:t>
      </w:r>
    </w:p>
    <w:p w14:paraId="04B63078" w14:textId="77777777" w:rsidR="00E80ED8" w:rsidRPr="00D33601" w:rsidRDefault="00E80ED8" w:rsidP="00E80ED8">
      <w:pPr>
        <w:pStyle w:val="biblio"/>
        <w:spacing w:afterLines="100" w:after="240"/>
        <w:rPr>
          <w:rFonts w:ascii="Century Gothic" w:hAnsi="Century Gothic"/>
          <w:sz w:val="22"/>
        </w:rPr>
      </w:pPr>
      <w:proofErr w:type="spellStart"/>
      <w:r w:rsidRPr="00D33601">
        <w:rPr>
          <w:rFonts w:ascii="Century Gothic" w:hAnsi="Century Gothic"/>
          <w:sz w:val="22"/>
        </w:rPr>
        <w:t>Nicholls</w:t>
      </w:r>
      <w:proofErr w:type="spellEnd"/>
      <w:r w:rsidRPr="00D33601">
        <w:rPr>
          <w:rFonts w:ascii="Century Gothic" w:hAnsi="Century Gothic"/>
          <w:sz w:val="22"/>
        </w:rPr>
        <w:t xml:space="preserve"> R.J., </w:t>
      </w:r>
      <w:proofErr w:type="spellStart"/>
      <w:r w:rsidRPr="00D33601">
        <w:rPr>
          <w:rFonts w:ascii="Century Gothic" w:hAnsi="Century Gothic"/>
          <w:sz w:val="22"/>
        </w:rPr>
        <w:t>Cazenave</w:t>
      </w:r>
      <w:proofErr w:type="spellEnd"/>
      <w:r w:rsidRPr="00D33601">
        <w:rPr>
          <w:rFonts w:ascii="Century Gothic" w:hAnsi="Century Gothic"/>
          <w:sz w:val="22"/>
        </w:rPr>
        <w:t xml:space="preserve"> A., </w:t>
      </w:r>
      <w:proofErr w:type="gramStart"/>
      <w:r w:rsidRPr="00D33601">
        <w:rPr>
          <w:rFonts w:ascii="Century Gothic" w:hAnsi="Century Gothic"/>
          <w:sz w:val="22"/>
        </w:rPr>
        <w:t xml:space="preserve">2010,  </w:t>
      </w:r>
      <w:proofErr w:type="spellStart"/>
      <w:r w:rsidRPr="00D33601">
        <w:rPr>
          <w:rFonts w:ascii="Century Gothic" w:hAnsi="Century Gothic"/>
          <w:sz w:val="22"/>
        </w:rPr>
        <w:t>Sea</w:t>
      </w:r>
      <w:proofErr w:type="gramEnd"/>
      <w:r w:rsidRPr="00D33601">
        <w:rPr>
          <w:rFonts w:ascii="Century Gothic" w:hAnsi="Century Gothic"/>
          <w:sz w:val="22"/>
        </w:rPr>
        <w:t>-level</w:t>
      </w:r>
      <w:proofErr w:type="spellEnd"/>
      <w:r w:rsidRPr="00D33601">
        <w:rPr>
          <w:rFonts w:ascii="Century Gothic" w:hAnsi="Century Gothic"/>
          <w:sz w:val="22"/>
        </w:rPr>
        <w:t xml:space="preserve"> </w:t>
      </w:r>
      <w:proofErr w:type="spellStart"/>
      <w:r w:rsidRPr="00D33601">
        <w:rPr>
          <w:rFonts w:ascii="Century Gothic" w:hAnsi="Century Gothic"/>
          <w:sz w:val="22"/>
        </w:rPr>
        <w:t>rise</w:t>
      </w:r>
      <w:proofErr w:type="spellEnd"/>
      <w:r w:rsidRPr="00D33601">
        <w:rPr>
          <w:rFonts w:ascii="Century Gothic" w:hAnsi="Century Gothic"/>
          <w:sz w:val="22"/>
        </w:rPr>
        <w:t xml:space="preserve"> and </w:t>
      </w:r>
      <w:proofErr w:type="spellStart"/>
      <w:r w:rsidRPr="00D33601">
        <w:rPr>
          <w:rFonts w:ascii="Century Gothic" w:hAnsi="Century Gothic"/>
          <w:sz w:val="22"/>
        </w:rPr>
        <w:t>its</w:t>
      </w:r>
      <w:proofErr w:type="spellEnd"/>
      <w:r w:rsidRPr="00D33601">
        <w:rPr>
          <w:rFonts w:ascii="Century Gothic" w:hAnsi="Century Gothic"/>
          <w:sz w:val="22"/>
        </w:rPr>
        <w:t xml:space="preserve"> impact on </w:t>
      </w:r>
      <w:proofErr w:type="spellStart"/>
      <w:r w:rsidRPr="00D33601">
        <w:rPr>
          <w:rFonts w:ascii="Century Gothic" w:hAnsi="Century Gothic"/>
          <w:sz w:val="22"/>
        </w:rPr>
        <w:t>coastal</w:t>
      </w:r>
      <w:proofErr w:type="spellEnd"/>
      <w:r w:rsidRPr="00D33601">
        <w:rPr>
          <w:rFonts w:ascii="Century Gothic" w:hAnsi="Century Gothic"/>
          <w:sz w:val="22"/>
        </w:rPr>
        <w:t xml:space="preserve"> zones. Science, Vol.328, pp.1517–1520</w:t>
      </w:r>
    </w:p>
    <w:p w14:paraId="056BE114" w14:textId="77777777" w:rsidR="00E80ED8" w:rsidRPr="00D33601" w:rsidRDefault="00E80ED8" w:rsidP="00E80ED8">
      <w:pPr>
        <w:pStyle w:val="biblio"/>
        <w:spacing w:afterLines="100" w:after="240"/>
        <w:rPr>
          <w:rFonts w:ascii="Century Gothic" w:hAnsi="Century Gothic"/>
          <w:sz w:val="22"/>
        </w:rPr>
      </w:pPr>
      <w:proofErr w:type="spellStart"/>
      <w:r w:rsidRPr="00D33601">
        <w:rPr>
          <w:rFonts w:ascii="Century Gothic" w:hAnsi="Century Gothic"/>
          <w:sz w:val="22"/>
        </w:rPr>
        <w:t>Rahmstorf</w:t>
      </w:r>
      <w:proofErr w:type="spellEnd"/>
      <w:r w:rsidRPr="00D33601">
        <w:rPr>
          <w:rFonts w:ascii="Century Gothic" w:hAnsi="Century Gothic"/>
          <w:sz w:val="22"/>
        </w:rPr>
        <w:t xml:space="preserve"> S., Perrette M., Vermeer M., 2012, </w:t>
      </w:r>
      <w:proofErr w:type="spellStart"/>
      <w:r w:rsidRPr="00D33601">
        <w:rPr>
          <w:rFonts w:ascii="Century Gothic" w:hAnsi="Century Gothic"/>
          <w:i/>
          <w:sz w:val="22"/>
        </w:rPr>
        <w:t>Testing</w:t>
      </w:r>
      <w:proofErr w:type="spellEnd"/>
      <w:r w:rsidRPr="00D33601">
        <w:rPr>
          <w:rFonts w:ascii="Century Gothic" w:hAnsi="Century Gothic"/>
          <w:i/>
          <w:sz w:val="22"/>
        </w:rPr>
        <w:t xml:space="preserve"> the </w:t>
      </w:r>
      <w:proofErr w:type="spellStart"/>
      <w:r w:rsidRPr="00D33601">
        <w:rPr>
          <w:rFonts w:ascii="Century Gothic" w:hAnsi="Century Gothic"/>
          <w:i/>
          <w:sz w:val="22"/>
        </w:rPr>
        <w:t>robustness</w:t>
      </w:r>
      <w:proofErr w:type="spellEnd"/>
      <w:r w:rsidRPr="00D33601">
        <w:rPr>
          <w:rFonts w:ascii="Century Gothic" w:hAnsi="Century Gothic"/>
          <w:i/>
          <w:sz w:val="22"/>
        </w:rPr>
        <w:t xml:space="preserve"> of semi-</w:t>
      </w:r>
      <w:proofErr w:type="spellStart"/>
      <w:r w:rsidRPr="00D33601">
        <w:rPr>
          <w:rFonts w:ascii="Century Gothic" w:hAnsi="Century Gothic"/>
          <w:i/>
          <w:sz w:val="22"/>
        </w:rPr>
        <w:t>empirical</w:t>
      </w:r>
      <w:proofErr w:type="spellEnd"/>
      <w:r w:rsidRPr="00D33601">
        <w:rPr>
          <w:rFonts w:ascii="Century Gothic" w:hAnsi="Century Gothic"/>
          <w:i/>
          <w:sz w:val="22"/>
        </w:rPr>
        <w:t xml:space="preserve"> </w:t>
      </w:r>
      <w:proofErr w:type="spellStart"/>
      <w:r w:rsidRPr="00D33601">
        <w:rPr>
          <w:rFonts w:ascii="Century Gothic" w:hAnsi="Century Gothic"/>
          <w:i/>
          <w:sz w:val="22"/>
        </w:rPr>
        <w:t>sea</w:t>
      </w:r>
      <w:proofErr w:type="spellEnd"/>
      <w:r w:rsidRPr="00D33601">
        <w:rPr>
          <w:rFonts w:ascii="Century Gothic" w:hAnsi="Century Gothic"/>
          <w:i/>
          <w:sz w:val="22"/>
        </w:rPr>
        <w:t xml:space="preserve"> </w:t>
      </w:r>
      <w:proofErr w:type="spellStart"/>
      <w:r w:rsidRPr="00D33601">
        <w:rPr>
          <w:rFonts w:ascii="Century Gothic" w:hAnsi="Century Gothic"/>
          <w:i/>
          <w:sz w:val="22"/>
        </w:rPr>
        <w:t>level</w:t>
      </w:r>
      <w:proofErr w:type="spellEnd"/>
      <w:r w:rsidRPr="00D33601">
        <w:rPr>
          <w:rFonts w:ascii="Century Gothic" w:hAnsi="Century Gothic"/>
          <w:i/>
          <w:sz w:val="22"/>
        </w:rPr>
        <w:t xml:space="preserve"> projections</w:t>
      </w:r>
      <w:r w:rsidRPr="00D33601">
        <w:rPr>
          <w:rFonts w:ascii="Century Gothic" w:hAnsi="Century Gothic"/>
          <w:sz w:val="22"/>
        </w:rPr>
        <w:t xml:space="preserve">, </w:t>
      </w:r>
      <w:proofErr w:type="spellStart"/>
      <w:r w:rsidRPr="00D33601">
        <w:rPr>
          <w:rFonts w:ascii="Century Gothic" w:hAnsi="Century Gothic"/>
          <w:sz w:val="22"/>
        </w:rPr>
        <w:t>Climate</w:t>
      </w:r>
      <w:proofErr w:type="spellEnd"/>
      <w:r w:rsidRPr="00D33601">
        <w:rPr>
          <w:rFonts w:ascii="Century Gothic" w:hAnsi="Century Gothic"/>
          <w:sz w:val="22"/>
        </w:rPr>
        <w:t xml:space="preserve"> Dynamics, Vol.39, pp.861–875</w:t>
      </w:r>
    </w:p>
    <w:p w14:paraId="0CD13E67" w14:textId="77777777" w:rsidR="00E80ED8" w:rsidRPr="00D33601" w:rsidRDefault="00E80ED8" w:rsidP="00E80ED8">
      <w:pPr>
        <w:pStyle w:val="biblio"/>
        <w:spacing w:afterLines="100" w:after="240"/>
        <w:rPr>
          <w:rFonts w:ascii="Century Gothic" w:hAnsi="Century Gothic"/>
          <w:sz w:val="22"/>
          <w:lang w:val="en-US"/>
        </w:rPr>
      </w:pPr>
      <w:r w:rsidRPr="00D33601">
        <w:rPr>
          <w:rFonts w:ascii="Century Gothic" w:hAnsi="Century Gothic"/>
          <w:sz w:val="22"/>
          <w:lang w:val="en-US"/>
        </w:rPr>
        <w:t xml:space="preserve">Brown S., Nicholls R.J., </w:t>
      </w:r>
      <w:proofErr w:type="spellStart"/>
      <w:r w:rsidRPr="00D33601">
        <w:rPr>
          <w:rFonts w:ascii="Century Gothic" w:hAnsi="Century Gothic"/>
          <w:sz w:val="22"/>
          <w:lang w:val="en-US"/>
        </w:rPr>
        <w:t>Woodroffe</w:t>
      </w:r>
      <w:proofErr w:type="spellEnd"/>
      <w:r w:rsidRPr="00D33601">
        <w:rPr>
          <w:rFonts w:ascii="Century Gothic" w:hAnsi="Century Gothic"/>
          <w:sz w:val="22"/>
          <w:lang w:val="en-US"/>
        </w:rPr>
        <w:t xml:space="preserve"> C., Hanson S., </w:t>
      </w:r>
      <w:proofErr w:type="spellStart"/>
      <w:r w:rsidRPr="00D33601">
        <w:rPr>
          <w:rFonts w:ascii="Century Gothic" w:hAnsi="Century Gothic"/>
          <w:sz w:val="22"/>
          <w:lang w:val="en-US"/>
        </w:rPr>
        <w:t>Hinkel</w:t>
      </w:r>
      <w:proofErr w:type="spellEnd"/>
      <w:r w:rsidRPr="00D33601">
        <w:rPr>
          <w:rFonts w:ascii="Century Gothic" w:hAnsi="Century Gothic"/>
          <w:sz w:val="22"/>
          <w:lang w:val="en-US"/>
        </w:rPr>
        <w:t xml:space="preserve"> J., </w:t>
      </w:r>
      <w:proofErr w:type="spellStart"/>
      <w:r w:rsidRPr="00D33601">
        <w:rPr>
          <w:rFonts w:ascii="Century Gothic" w:hAnsi="Century Gothic"/>
          <w:sz w:val="22"/>
          <w:lang w:val="en-US"/>
        </w:rPr>
        <w:t>Kebede</w:t>
      </w:r>
      <w:proofErr w:type="spellEnd"/>
      <w:r w:rsidRPr="00D33601">
        <w:rPr>
          <w:rFonts w:ascii="Century Gothic" w:hAnsi="Century Gothic"/>
          <w:sz w:val="22"/>
          <w:lang w:val="en-US"/>
        </w:rPr>
        <w:t xml:space="preserve"> A.S., Neumann B., </w:t>
      </w:r>
      <w:proofErr w:type="spellStart"/>
      <w:r w:rsidRPr="00D33601">
        <w:rPr>
          <w:rFonts w:ascii="Century Gothic" w:hAnsi="Century Gothic"/>
          <w:sz w:val="22"/>
          <w:lang w:val="en-US"/>
        </w:rPr>
        <w:t>Vafeidis</w:t>
      </w:r>
      <w:proofErr w:type="spellEnd"/>
      <w:r w:rsidRPr="00D33601">
        <w:rPr>
          <w:rFonts w:ascii="Century Gothic" w:hAnsi="Century Gothic"/>
          <w:sz w:val="22"/>
          <w:lang w:val="en-US"/>
        </w:rPr>
        <w:t xml:space="preserve"> A.T., 2013, </w:t>
      </w:r>
      <w:r w:rsidRPr="00D33601">
        <w:rPr>
          <w:rFonts w:ascii="Century Gothic" w:hAnsi="Century Gothic"/>
          <w:i/>
          <w:sz w:val="22"/>
          <w:lang w:val="en-US"/>
        </w:rPr>
        <w:t>Sea-level rise impacts and responses: a global perspective</w:t>
      </w:r>
      <w:r w:rsidRPr="00D33601">
        <w:rPr>
          <w:rFonts w:ascii="Century Gothic" w:hAnsi="Century Gothic"/>
          <w:sz w:val="22"/>
          <w:lang w:val="en-US"/>
        </w:rPr>
        <w:t xml:space="preserve">, in: </w:t>
      </w:r>
      <w:proofErr w:type="spellStart"/>
      <w:r w:rsidRPr="00D33601">
        <w:rPr>
          <w:rFonts w:ascii="Century Gothic" w:hAnsi="Century Gothic"/>
          <w:sz w:val="22"/>
          <w:lang w:val="en-US"/>
        </w:rPr>
        <w:t>Finkl</w:t>
      </w:r>
      <w:proofErr w:type="spellEnd"/>
      <w:r w:rsidRPr="00D33601">
        <w:rPr>
          <w:rFonts w:ascii="Century Gothic" w:hAnsi="Century Gothic"/>
          <w:sz w:val="22"/>
          <w:lang w:val="en-US"/>
        </w:rPr>
        <w:t xml:space="preserve"> C.W. (</w:t>
      </w:r>
      <w:proofErr w:type="spellStart"/>
      <w:r w:rsidRPr="00D33601">
        <w:rPr>
          <w:rFonts w:ascii="Century Gothic" w:hAnsi="Century Gothic"/>
          <w:sz w:val="22"/>
          <w:lang w:val="en-US"/>
        </w:rPr>
        <w:t>ed</w:t>
      </w:r>
      <w:proofErr w:type="spellEnd"/>
      <w:r w:rsidRPr="00D33601">
        <w:rPr>
          <w:rFonts w:ascii="Century Gothic" w:hAnsi="Century Gothic"/>
          <w:sz w:val="22"/>
          <w:lang w:val="en-US"/>
        </w:rPr>
        <w:t>) “Coastal Hazards”, Springer, Netherlands, pp.117–149</w:t>
      </w:r>
    </w:p>
    <w:p w14:paraId="6E77AB61" w14:textId="31502F56" w:rsidR="00E80ED8" w:rsidRPr="00D33601" w:rsidRDefault="00E80ED8" w:rsidP="00E80ED8">
      <w:pPr>
        <w:pStyle w:val="biblio"/>
        <w:spacing w:afterLines="100" w:after="240"/>
        <w:rPr>
          <w:rFonts w:ascii="Century Gothic" w:hAnsi="Century Gothic"/>
          <w:i/>
          <w:sz w:val="22"/>
        </w:rPr>
      </w:pPr>
      <w:r w:rsidRPr="00D33601">
        <w:rPr>
          <w:rFonts w:ascii="Century Gothic" w:hAnsi="Century Gothic"/>
          <w:sz w:val="22"/>
        </w:rPr>
        <w:t>GIEC, 2014</w:t>
      </w:r>
      <w:r w:rsidRPr="00D33601">
        <w:rPr>
          <w:rFonts w:ascii="Century Gothic" w:hAnsi="Century Gothic"/>
          <w:sz w:val="22"/>
        </w:rPr>
        <w:t xml:space="preserve">, </w:t>
      </w:r>
      <w:r w:rsidRPr="00D33601">
        <w:rPr>
          <w:rFonts w:ascii="Century Gothic" w:hAnsi="Century Gothic"/>
          <w:i/>
          <w:sz w:val="22"/>
        </w:rPr>
        <w:t xml:space="preserve">Changements climatiques 2014 : Rapport de synthèse, </w:t>
      </w:r>
      <w:r w:rsidRPr="00D33601">
        <w:rPr>
          <w:rFonts w:ascii="Century Gothic" w:hAnsi="Century Gothic"/>
          <w:sz w:val="22"/>
        </w:rPr>
        <w:t xml:space="preserve">Contribution des Groupes de travail I, II et III au cinquième Rapport d’évaluation du Groupe d’experts intergouvernemental sur l’évolution du climat [Sous la direction de l’équipe de rédaction principale, R.K. </w:t>
      </w:r>
      <w:proofErr w:type="spellStart"/>
      <w:r w:rsidRPr="00D33601">
        <w:rPr>
          <w:rFonts w:ascii="Century Gothic" w:hAnsi="Century Gothic"/>
          <w:sz w:val="22"/>
        </w:rPr>
        <w:t>Pachauri</w:t>
      </w:r>
      <w:proofErr w:type="spellEnd"/>
      <w:r w:rsidRPr="00D33601">
        <w:rPr>
          <w:rFonts w:ascii="Century Gothic" w:hAnsi="Century Gothic"/>
          <w:sz w:val="22"/>
        </w:rPr>
        <w:t xml:space="preserve"> et L.A. Meyer], Genève, Suisse, 161 p.</w:t>
      </w:r>
    </w:p>
    <w:p w14:paraId="0455D94F" w14:textId="77777777" w:rsidR="00592BE7" w:rsidRPr="00D33601" w:rsidRDefault="00592BE7" w:rsidP="00592BE7">
      <w:pPr>
        <w:pStyle w:val="biblio"/>
        <w:spacing w:afterLines="100" w:after="240"/>
        <w:rPr>
          <w:rFonts w:ascii="Century Gothic" w:hAnsi="Century Gothic"/>
          <w:sz w:val="22"/>
        </w:rPr>
      </w:pPr>
      <w:r w:rsidRPr="00D33601">
        <w:rPr>
          <w:rFonts w:ascii="Century Gothic" w:hAnsi="Century Gothic"/>
          <w:sz w:val="22"/>
        </w:rPr>
        <w:t xml:space="preserve">Bailly G., </w:t>
      </w:r>
      <w:proofErr w:type="spellStart"/>
      <w:r w:rsidRPr="00D33601">
        <w:rPr>
          <w:rFonts w:ascii="Century Gothic" w:hAnsi="Century Gothic"/>
          <w:sz w:val="22"/>
        </w:rPr>
        <w:t>Rulleau</w:t>
      </w:r>
      <w:proofErr w:type="spellEnd"/>
      <w:r w:rsidRPr="00D33601">
        <w:rPr>
          <w:rFonts w:ascii="Century Gothic" w:hAnsi="Century Gothic"/>
          <w:sz w:val="22"/>
        </w:rPr>
        <w:t xml:space="preserve"> B., Rey-Valette H., 2016, </w:t>
      </w:r>
      <w:r w:rsidRPr="00D33601">
        <w:rPr>
          <w:rFonts w:ascii="Century Gothic" w:hAnsi="Century Gothic"/>
          <w:i/>
          <w:sz w:val="22"/>
        </w:rPr>
        <w:t>Apport des consentements à payer et de leur spatialisation à l’étude de l’acceptabilité des politiques d’adaptation à la montée du niveau de la mer liée au changement climatique</w:t>
      </w:r>
      <w:r w:rsidRPr="00D33601">
        <w:rPr>
          <w:rFonts w:ascii="Century Gothic" w:hAnsi="Century Gothic"/>
          <w:sz w:val="22"/>
        </w:rPr>
        <w:t>, Géographie, économie, société, Vol.18, pp.387-408</w:t>
      </w:r>
    </w:p>
    <w:p w14:paraId="5CA7A81B" w14:textId="77777777" w:rsidR="004C7DA6" w:rsidRPr="00D33601" w:rsidRDefault="004C7DA6" w:rsidP="004C7DA6">
      <w:pPr>
        <w:pStyle w:val="biblio"/>
        <w:spacing w:afterLines="100" w:after="240"/>
        <w:rPr>
          <w:rFonts w:ascii="Century Gothic" w:hAnsi="Century Gothic"/>
          <w:sz w:val="22"/>
          <w:lang w:eastAsia="fr-FR"/>
        </w:rPr>
      </w:pPr>
      <w:proofErr w:type="spellStart"/>
      <w:r w:rsidRPr="00D33601">
        <w:rPr>
          <w:rFonts w:ascii="Century Gothic" w:hAnsi="Century Gothic"/>
          <w:sz w:val="22"/>
          <w:lang w:eastAsia="fr-FR"/>
        </w:rPr>
        <w:t>Kruel</w:t>
      </w:r>
      <w:proofErr w:type="spellEnd"/>
      <w:r w:rsidRPr="00D33601">
        <w:rPr>
          <w:rFonts w:ascii="Century Gothic" w:hAnsi="Century Gothic"/>
          <w:sz w:val="22"/>
          <w:lang w:eastAsia="fr-FR"/>
        </w:rPr>
        <w:t xml:space="preserve"> S., 2016, </w:t>
      </w:r>
      <w:r w:rsidRPr="00D33601">
        <w:rPr>
          <w:rFonts w:ascii="Century Gothic" w:hAnsi="Century Gothic"/>
          <w:i/>
          <w:sz w:val="22"/>
          <w:lang w:eastAsia="fr-FR"/>
        </w:rPr>
        <w:t xml:space="preserve">The impacts of </w:t>
      </w:r>
      <w:proofErr w:type="spellStart"/>
      <w:r w:rsidRPr="00D33601">
        <w:rPr>
          <w:rFonts w:ascii="Century Gothic" w:hAnsi="Century Gothic"/>
          <w:i/>
          <w:sz w:val="22"/>
          <w:lang w:eastAsia="fr-FR"/>
        </w:rPr>
        <w:t>sea-level</w:t>
      </w:r>
      <w:proofErr w:type="spellEnd"/>
      <w:r w:rsidRPr="00D33601">
        <w:rPr>
          <w:rFonts w:ascii="Century Gothic" w:hAnsi="Century Gothic"/>
          <w:i/>
          <w:sz w:val="22"/>
          <w:lang w:eastAsia="fr-FR"/>
        </w:rPr>
        <w:t xml:space="preserve"> </w:t>
      </w:r>
      <w:proofErr w:type="spellStart"/>
      <w:r w:rsidRPr="00D33601">
        <w:rPr>
          <w:rFonts w:ascii="Century Gothic" w:hAnsi="Century Gothic"/>
          <w:i/>
          <w:sz w:val="22"/>
          <w:lang w:eastAsia="fr-FR"/>
        </w:rPr>
        <w:t>rise</w:t>
      </w:r>
      <w:proofErr w:type="spellEnd"/>
      <w:r w:rsidRPr="00D33601">
        <w:rPr>
          <w:rFonts w:ascii="Century Gothic" w:hAnsi="Century Gothic"/>
          <w:i/>
          <w:sz w:val="22"/>
          <w:lang w:eastAsia="fr-FR"/>
        </w:rPr>
        <w:t xml:space="preserve"> on tidal </w:t>
      </w:r>
      <w:proofErr w:type="spellStart"/>
      <w:r w:rsidRPr="00D33601">
        <w:rPr>
          <w:rFonts w:ascii="Century Gothic" w:hAnsi="Century Gothic"/>
          <w:i/>
          <w:sz w:val="22"/>
          <w:lang w:eastAsia="fr-FR"/>
        </w:rPr>
        <w:t>flooding</w:t>
      </w:r>
      <w:proofErr w:type="spellEnd"/>
      <w:r w:rsidRPr="00D33601">
        <w:rPr>
          <w:rFonts w:ascii="Century Gothic" w:hAnsi="Century Gothic"/>
          <w:i/>
          <w:sz w:val="22"/>
          <w:lang w:eastAsia="fr-FR"/>
        </w:rPr>
        <w:t xml:space="preserve"> in Boston, Massachusetts</w:t>
      </w:r>
      <w:r w:rsidRPr="00D33601">
        <w:rPr>
          <w:rFonts w:ascii="Century Gothic" w:hAnsi="Century Gothic"/>
          <w:sz w:val="22"/>
          <w:lang w:eastAsia="fr-FR"/>
        </w:rPr>
        <w:t xml:space="preserve">, Journal of </w:t>
      </w:r>
      <w:proofErr w:type="spellStart"/>
      <w:r w:rsidRPr="00D33601">
        <w:rPr>
          <w:rFonts w:ascii="Century Gothic" w:hAnsi="Century Gothic"/>
          <w:sz w:val="22"/>
          <w:lang w:eastAsia="fr-FR"/>
        </w:rPr>
        <w:t>Coastal</w:t>
      </w:r>
      <w:proofErr w:type="spellEnd"/>
      <w:r w:rsidRPr="00D33601">
        <w:rPr>
          <w:rFonts w:ascii="Century Gothic" w:hAnsi="Century Gothic"/>
          <w:sz w:val="22"/>
          <w:lang w:eastAsia="fr-FR"/>
        </w:rPr>
        <w:t xml:space="preserve"> </w:t>
      </w:r>
      <w:proofErr w:type="spellStart"/>
      <w:r w:rsidRPr="00D33601">
        <w:rPr>
          <w:rFonts w:ascii="Century Gothic" w:hAnsi="Century Gothic"/>
          <w:sz w:val="22"/>
          <w:lang w:eastAsia="fr-FR"/>
        </w:rPr>
        <w:t>Research</w:t>
      </w:r>
      <w:proofErr w:type="spellEnd"/>
      <w:r w:rsidRPr="00D33601">
        <w:rPr>
          <w:rFonts w:ascii="Century Gothic" w:hAnsi="Century Gothic"/>
          <w:sz w:val="22"/>
          <w:lang w:eastAsia="fr-FR"/>
        </w:rPr>
        <w:t>, Vol.32, No.6, pp.1302–1309</w:t>
      </w:r>
    </w:p>
    <w:p w14:paraId="03FAF613" w14:textId="77777777" w:rsidR="004C7DA6" w:rsidRPr="00D33601" w:rsidRDefault="004C7DA6" w:rsidP="004C7DA6">
      <w:pPr>
        <w:pStyle w:val="biblio"/>
        <w:spacing w:afterLines="100" w:after="240"/>
        <w:rPr>
          <w:rFonts w:ascii="Century Gothic" w:hAnsi="Century Gothic"/>
          <w:sz w:val="22"/>
        </w:rPr>
      </w:pPr>
      <w:proofErr w:type="spellStart"/>
      <w:r w:rsidRPr="00D33601">
        <w:rPr>
          <w:rFonts w:ascii="Century Gothic" w:hAnsi="Century Gothic"/>
          <w:sz w:val="22"/>
        </w:rPr>
        <w:t>Paskoff</w:t>
      </w:r>
      <w:proofErr w:type="spellEnd"/>
      <w:r w:rsidRPr="00D33601">
        <w:rPr>
          <w:rFonts w:ascii="Century Gothic" w:hAnsi="Century Gothic"/>
          <w:sz w:val="22"/>
        </w:rPr>
        <w:t xml:space="preserve"> R., 1993, </w:t>
      </w:r>
      <w:r w:rsidRPr="00D33601">
        <w:rPr>
          <w:rFonts w:ascii="Century Gothic" w:hAnsi="Century Gothic"/>
          <w:i/>
          <w:sz w:val="22"/>
        </w:rPr>
        <w:t>Côtes en danger</w:t>
      </w:r>
      <w:r w:rsidRPr="00D33601">
        <w:rPr>
          <w:rFonts w:ascii="Century Gothic" w:hAnsi="Century Gothic"/>
          <w:sz w:val="22"/>
        </w:rPr>
        <w:t>, Masson, collection Pratiques de la Géographie, Paris, 250 p.</w:t>
      </w:r>
    </w:p>
    <w:p w14:paraId="309F97FF" w14:textId="77777777" w:rsidR="004C7DA6" w:rsidRPr="00D33601" w:rsidRDefault="004C7DA6" w:rsidP="004C7DA6">
      <w:pPr>
        <w:pStyle w:val="biblio"/>
        <w:spacing w:afterLines="100" w:after="240"/>
        <w:rPr>
          <w:rFonts w:ascii="Century Gothic" w:hAnsi="Century Gothic"/>
          <w:sz w:val="22"/>
        </w:rPr>
      </w:pPr>
      <w:r w:rsidRPr="00D33601">
        <w:rPr>
          <w:rFonts w:ascii="Century Gothic" w:hAnsi="Century Gothic"/>
          <w:sz w:val="22"/>
        </w:rPr>
        <w:t xml:space="preserve">Robin N., Verger F., 1996, </w:t>
      </w:r>
      <w:r w:rsidRPr="00D33601">
        <w:rPr>
          <w:rFonts w:ascii="Century Gothic" w:hAnsi="Century Gothic"/>
          <w:i/>
          <w:sz w:val="22"/>
        </w:rPr>
        <w:t>Pendant la protection, l’urbanisation continue</w:t>
      </w:r>
      <w:r w:rsidRPr="00D33601">
        <w:rPr>
          <w:rFonts w:ascii="Century Gothic" w:hAnsi="Century Gothic"/>
          <w:sz w:val="22"/>
        </w:rPr>
        <w:t>, Les Cahiers du Conservatoire du Littoral, No.13, 48 p.</w:t>
      </w:r>
    </w:p>
    <w:p w14:paraId="394A7F33" w14:textId="77777777" w:rsidR="004C7DA6" w:rsidRPr="00D33601" w:rsidRDefault="004C7DA6" w:rsidP="004C7DA6">
      <w:pPr>
        <w:pStyle w:val="biblio"/>
        <w:spacing w:afterLines="100" w:after="240"/>
        <w:rPr>
          <w:rFonts w:ascii="Century Gothic" w:hAnsi="Century Gothic"/>
          <w:sz w:val="22"/>
        </w:rPr>
      </w:pPr>
      <w:proofErr w:type="spellStart"/>
      <w:r w:rsidRPr="00D33601">
        <w:rPr>
          <w:rFonts w:ascii="Century Gothic" w:hAnsi="Century Gothic"/>
          <w:sz w:val="22"/>
        </w:rPr>
        <w:t>Noin</w:t>
      </w:r>
      <w:proofErr w:type="spellEnd"/>
      <w:r w:rsidRPr="00D33601">
        <w:rPr>
          <w:rFonts w:ascii="Century Gothic" w:hAnsi="Century Gothic"/>
          <w:sz w:val="22"/>
        </w:rPr>
        <w:t xml:space="preserve"> D., 1999, </w:t>
      </w:r>
      <w:r w:rsidRPr="00D33601">
        <w:rPr>
          <w:rFonts w:ascii="Century Gothic" w:hAnsi="Century Gothic"/>
          <w:i/>
          <w:sz w:val="22"/>
        </w:rPr>
        <w:t>La population des littoraux du monde,</w:t>
      </w:r>
      <w:r w:rsidRPr="00D33601">
        <w:rPr>
          <w:rFonts w:ascii="Century Gothic" w:hAnsi="Century Gothic"/>
          <w:sz w:val="22"/>
        </w:rPr>
        <w:t xml:space="preserve"> L'information géographique, No.2, pp.65-73</w:t>
      </w:r>
    </w:p>
    <w:p w14:paraId="395BDAFE" w14:textId="77777777" w:rsidR="004C7DA6" w:rsidRPr="00D33601" w:rsidRDefault="004C7DA6" w:rsidP="004C7DA6">
      <w:pPr>
        <w:pStyle w:val="biblio"/>
        <w:spacing w:afterLines="100" w:after="240"/>
        <w:rPr>
          <w:rFonts w:ascii="Century Gothic" w:hAnsi="Century Gothic" w:cs="Calibri"/>
          <w:sz w:val="22"/>
          <w:szCs w:val="22"/>
        </w:rPr>
      </w:pPr>
      <w:r w:rsidRPr="00D33601">
        <w:rPr>
          <w:rFonts w:ascii="Century Gothic" w:hAnsi="Century Gothic" w:cs="Calibri"/>
          <w:sz w:val="22"/>
          <w:szCs w:val="22"/>
        </w:rPr>
        <w:t xml:space="preserve">Institut français de l’environnement (IFEN), 2000, </w:t>
      </w:r>
      <w:r w:rsidRPr="00D33601">
        <w:rPr>
          <w:rFonts w:ascii="Century Gothic" w:hAnsi="Century Gothic" w:cs="Calibri"/>
          <w:i/>
          <w:sz w:val="22"/>
          <w:szCs w:val="22"/>
        </w:rPr>
        <w:t>La pression de la construction ne se relâche pas sur le littoral métropolitain,</w:t>
      </w:r>
      <w:r w:rsidRPr="00D33601">
        <w:rPr>
          <w:rFonts w:ascii="Century Gothic" w:hAnsi="Century Gothic" w:cs="Calibri"/>
          <w:sz w:val="22"/>
          <w:szCs w:val="22"/>
        </w:rPr>
        <w:t xml:space="preserve"> Les données de l’Environnement, No.55, 4 p.</w:t>
      </w:r>
    </w:p>
    <w:p w14:paraId="095F6197" w14:textId="77777777" w:rsidR="004C7DA6" w:rsidRPr="00D33601" w:rsidRDefault="004C7DA6" w:rsidP="004C7DA6">
      <w:pPr>
        <w:pStyle w:val="biblio"/>
        <w:spacing w:afterLines="100" w:after="240"/>
        <w:rPr>
          <w:rFonts w:ascii="Century Gothic" w:hAnsi="Century Gothic"/>
          <w:sz w:val="22"/>
          <w:lang w:eastAsia="fr-FR"/>
        </w:rPr>
      </w:pPr>
      <w:r w:rsidRPr="00D33601">
        <w:rPr>
          <w:rFonts w:ascii="Century Gothic" w:hAnsi="Century Gothic"/>
          <w:sz w:val="22"/>
          <w:lang w:eastAsia="fr-FR"/>
        </w:rPr>
        <w:t xml:space="preserve">Herbert V., </w:t>
      </w:r>
      <w:proofErr w:type="spellStart"/>
      <w:r w:rsidRPr="00D33601">
        <w:rPr>
          <w:rFonts w:ascii="Century Gothic" w:hAnsi="Century Gothic"/>
          <w:sz w:val="22"/>
          <w:lang w:eastAsia="fr-FR"/>
        </w:rPr>
        <w:t>Deboudt</w:t>
      </w:r>
      <w:proofErr w:type="spellEnd"/>
      <w:r w:rsidRPr="00D33601">
        <w:rPr>
          <w:rFonts w:ascii="Century Gothic" w:hAnsi="Century Gothic"/>
          <w:sz w:val="22"/>
          <w:lang w:eastAsia="fr-FR"/>
        </w:rPr>
        <w:t xml:space="preserve"> P., </w:t>
      </w:r>
      <w:proofErr w:type="spellStart"/>
      <w:r w:rsidRPr="00D33601">
        <w:rPr>
          <w:rFonts w:ascii="Century Gothic" w:hAnsi="Century Gothic"/>
          <w:sz w:val="22"/>
          <w:lang w:eastAsia="fr-FR"/>
        </w:rPr>
        <w:t>Meur-Férec</w:t>
      </w:r>
      <w:proofErr w:type="spellEnd"/>
      <w:r w:rsidRPr="00D33601">
        <w:rPr>
          <w:rFonts w:ascii="Century Gothic" w:hAnsi="Century Gothic"/>
          <w:sz w:val="22"/>
          <w:lang w:eastAsia="fr-FR"/>
        </w:rPr>
        <w:t xml:space="preserve"> C., Morel V., 2006, </w:t>
      </w:r>
      <w:r w:rsidRPr="00D33601">
        <w:rPr>
          <w:rFonts w:ascii="Century Gothic" w:hAnsi="Century Gothic"/>
          <w:i/>
          <w:sz w:val="22"/>
          <w:lang w:eastAsia="fr-FR"/>
        </w:rPr>
        <w:t>Contribution aux recherches en géographie littorale sur la Côte d’Opale</w:t>
      </w:r>
      <w:r w:rsidRPr="00D33601">
        <w:rPr>
          <w:rFonts w:ascii="Century Gothic" w:hAnsi="Century Gothic"/>
          <w:sz w:val="22"/>
          <w:lang w:eastAsia="fr-FR"/>
        </w:rPr>
        <w:t>, Territoire en mouvement Revue de géographie et aménagement, Vol.1, pp.54-67</w:t>
      </w:r>
    </w:p>
    <w:p w14:paraId="5D70DE52" w14:textId="77777777" w:rsidR="004C7DA6" w:rsidRPr="00D33601" w:rsidRDefault="004C7DA6" w:rsidP="004C7DA6">
      <w:pPr>
        <w:pStyle w:val="biblio"/>
        <w:spacing w:afterLines="100" w:after="240"/>
        <w:rPr>
          <w:rFonts w:ascii="Century Gothic" w:hAnsi="Century Gothic"/>
          <w:sz w:val="22"/>
        </w:rPr>
      </w:pPr>
      <w:r w:rsidRPr="00D33601">
        <w:rPr>
          <w:rFonts w:ascii="Century Gothic" w:hAnsi="Century Gothic"/>
          <w:sz w:val="22"/>
        </w:rPr>
        <w:t xml:space="preserve">Pigeon P., 2002, </w:t>
      </w:r>
      <w:r w:rsidRPr="00D33601">
        <w:rPr>
          <w:rFonts w:ascii="Century Gothic" w:hAnsi="Century Gothic"/>
          <w:i/>
          <w:sz w:val="22"/>
        </w:rPr>
        <w:t>Réflexions sur les notions et les méthodes en géographie des risques naturels</w:t>
      </w:r>
      <w:r w:rsidRPr="00D33601">
        <w:rPr>
          <w:rFonts w:ascii="Century Gothic" w:hAnsi="Century Gothic"/>
          <w:sz w:val="22"/>
        </w:rPr>
        <w:t>, Annales de Géographie, numéro spécial, n° 627-628, p. 452-470.</w:t>
      </w:r>
    </w:p>
    <w:p w14:paraId="06134817" w14:textId="77777777" w:rsidR="004C7DA6" w:rsidRPr="00D33601" w:rsidRDefault="004C7DA6" w:rsidP="004C7DA6">
      <w:pPr>
        <w:pStyle w:val="biblio"/>
        <w:spacing w:afterLines="100" w:after="240"/>
        <w:rPr>
          <w:rFonts w:ascii="Century Gothic" w:hAnsi="Century Gothic"/>
          <w:sz w:val="22"/>
        </w:rPr>
      </w:pPr>
      <w:proofErr w:type="spellStart"/>
      <w:r w:rsidRPr="00D33601">
        <w:rPr>
          <w:rFonts w:ascii="Century Gothic" w:hAnsi="Century Gothic"/>
          <w:sz w:val="22"/>
        </w:rPr>
        <w:lastRenderedPageBreak/>
        <w:t>Meur-Férec</w:t>
      </w:r>
      <w:proofErr w:type="spellEnd"/>
      <w:r w:rsidRPr="00D33601">
        <w:rPr>
          <w:rFonts w:ascii="Century Gothic" w:hAnsi="Century Gothic"/>
          <w:sz w:val="22"/>
        </w:rPr>
        <w:t xml:space="preserve"> C., 2006, </w:t>
      </w:r>
      <w:r w:rsidRPr="00D33601">
        <w:rPr>
          <w:rFonts w:ascii="Century Gothic" w:hAnsi="Century Gothic"/>
          <w:i/>
          <w:sz w:val="22"/>
        </w:rPr>
        <w:t>De la dynamique naturelle à la gestion intégrée de l'espace littoral : un itinéraire de géographe, Habilitation à Diriger des Recherches</w:t>
      </w:r>
      <w:r w:rsidRPr="00D33601">
        <w:rPr>
          <w:rFonts w:ascii="Century Gothic" w:hAnsi="Century Gothic"/>
          <w:sz w:val="22"/>
        </w:rPr>
        <w:t xml:space="preserve">, </w:t>
      </w:r>
      <w:r w:rsidRPr="00D33601">
        <w:rPr>
          <w:rFonts w:ascii="Century Gothic" w:hAnsi="Century Gothic" w:cs="Calibri"/>
          <w:sz w:val="22"/>
        </w:rPr>
        <w:t>mémoire d’habilitation à diriger les recherches</w:t>
      </w:r>
      <w:r w:rsidRPr="00D33601">
        <w:rPr>
          <w:rFonts w:ascii="Century Gothic" w:hAnsi="Century Gothic"/>
          <w:sz w:val="22"/>
        </w:rPr>
        <w:t>, Université de Nantes, 248 p.</w:t>
      </w:r>
    </w:p>
    <w:p w14:paraId="0E2CFD8E" w14:textId="77777777" w:rsidR="004C7DA6" w:rsidRPr="00D33601" w:rsidRDefault="004C7DA6" w:rsidP="004C7DA6">
      <w:pPr>
        <w:pStyle w:val="biblio"/>
        <w:spacing w:afterLines="100" w:after="240"/>
        <w:rPr>
          <w:rFonts w:ascii="Century Gothic" w:hAnsi="Century Gothic"/>
          <w:sz w:val="22"/>
          <w:lang w:val="en-US"/>
        </w:rPr>
      </w:pPr>
      <w:r w:rsidRPr="00D33601">
        <w:rPr>
          <w:rFonts w:ascii="Century Gothic" w:hAnsi="Century Gothic"/>
          <w:sz w:val="22"/>
          <w:lang w:val="en-US"/>
        </w:rPr>
        <w:t xml:space="preserve">O’Neill E., Brereton F., </w:t>
      </w:r>
      <w:proofErr w:type="spellStart"/>
      <w:r w:rsidRPr="00D33601">
        <w:rPr>
          <w:rFonts w:ascii="Century Gothic" w:hAnsi="Century Gothic"/>
          <w:sz w:val="22"/>
          <w:lang w:val="en-US"/>
        </w:rPr>
        <w:t>Shahumyan</w:t>
      </w:r>
      <w:proofErr w:type="spellEnd"/>
      <w:r w:rsidRPr="00D33601">
        <w:rPr>
          <w:rFonts w:ascii="Century Gothic" w:hAnsi="Century Gothic"/>
          <w:sz w:val="22"/>
          <w:lang w:val="en-US"/>
        </w:rPr>
        <w:t xml:space="preserve"> H., Peter Clinch J., 2016, </w:t>
      </w:r>
      <w:r w:rsidRPr="00D33601">
        <w:rPr>
          <w:rFonts w:ascii="Century Gothic" w:hAnsi="Century Gothic"/>
          <w:i/>
          <w:sz w:val="22"/>
          <w:lang w:val="en-US"/>
        </w:rPr>
        <w:t>The impact of perceived flood exposure on flood-risk perception: the role of distance</w:t>
      </w:r>
      <w:r w:rsidRPr="00D33601">
        <w:rPr>
          <w:rFonts w:ascii="Century Gothic" w:hAnsi="Century Gothic"/>
          <w:sz w:val="22"/>
          <w:lang w:val="en-US"/>
        </w:rPr>
        <w:t>, Risk Analysis, Vol.36, No.11, pp.2158-2186</w:t>
      </w:r>
    </w:p>
    <w:p w14:paraId="1E06FD01" w14:textId="77777777" w:rsidR="004C7DA6" w:rsidRPr="00D33601" w:rsidRDefault="004C7DA6" w:rsidP="004C7DA6">
      <w:pPr>
        <w:pStyle w:val="biblio"/>
        <w:spacing w:afterLines="100" w:after="240"/>
        <w:rPr>
          <w:rStyle w:val="Lienhypertexte"/>
          <w:rFonts w:ascii="Century Gothic" w:hAnsi="Century Gothic" w:cs="Calibri"/>
          <w:sz w:val="22"/>
          <w:szCs w:val="22"/>
        </w:rPr>
      </w:pPr>
      <w:proofErr w:type="spellStart"/>
      <w:r w:rsidRPr="00D33601">
        <w:rPr>
          <w:rFonts w:ascii="Century Gothic" w:hAnsi="Century Gothic" w:cs="Calibri"/>
          <w:sz w:val="22"/>
        </w:rPr>
        <w:t>Glatron</w:t>
      </w:r>
      <w:proofErr w:type="spellEnd"/>
      <w:r w:rsidRPr="00D33601">
        <w:rPr>
          <w:rFonts w:ascii="Century Gothic" w:hAnsi="Century Gothic" w:cs="Calibri"/>
          <w:sz w:val="22"/>
        </w:rPr>
        <w:t xml:space="preserve"> S., 2009,</w:t>
      </w:r>
      <w:r w:rsidRPr="00D33601">
        <w:rPr>
          <w:rFonts w:ascii="Century Gothic" w:hAnsi="Century Gothic" w:cs="Calibri"/>
          <w:i/>
          <w:sz w:val="22"/>
        </w:rPr>
        <w:t xml:space="preserve"> représentations cognitives et spatiales des risques et des nuisances pour les citadins</w:t>
      </w:r>
      <w:r w:rsidRPr="00D33601">
        <w:rPr>
          <w:rFonts w:ascii="Century Gothic" w:hAnsi="Century Gothic" w:cs="Calibri"/>
          <w:sz w:val="22"/>
        </w:rPr>
        <w:t>, mémoire d’habilitation à diriger les recherches, Université de Strasbourg, 201 p.</w:t>
      </w:r>
    </w:p>
    <w:p w14:paraId="15F2AFDA" w14:textId="77777777" w:rsidR="00D33601" w:rsidRPr="00D33601" w:rsidRDefault="00D33601" w:rsidP="00D33601">
      <w:pPr>
        <w:pStyle w:val="biblio"/>
        <w:spacing w:afterLines="100" w:after="240"/>
        <w:rPr>
          <w:rFonts w:ascii="Century Gothic" w:hAnsi="Century Gothic"/>
          <w:sz w:val="22"/>
        </w:rPr>
      </w:pPr>
      <w:r w:rsidRPr="00D33601">
        <w:rPr>
          <w:rFonts w:ascii="Century Gothic" w:hAnsi="Century Gothic"/>
          <w:sz w:val="22"/>
        </w:rPr>
        <w:t xml:space="preserve">Pin X., </w:t>
      </w:r>
      <w:proofErr w:type="spellStart"/>
      <w:r w:rsidRPr="00D33601">
        <w:rPr>
          <w:rFonts w:ascii="Century Gothic" w:hAnsi="Century Gothic"/>
          <w:sz w:val="22"/>
        </w:rPr>
        <w:t>Nau</w:t>
      </w:r>
      <w:proofErr w:type="spellEnd"/>
      <w:r w:rsidRPr="00D33601">
        <w:rPr>
          <w:rFonts w:ascii="Century Gothic" w:hAnsi="Century Gothic"/>
          <w:sz w:val="22"/>
        </w:rPr>
        <w:t xml:space="preserve"> F., Garcin J.L., 2007, </w:t>
      </w:r>
      <w:r w:rsidRPr="00D33601">
        <w:rPr>
          <w:rFonts w:ascii="Century Gothic" w:hAnsi="Century Gothic"/>
          <w:i/>
          <w:sz w:val="22"/>
        </w:rPr>
        <w:t>Mise hors d'eau du polder des wateringues dans le Nord et le Pas-de-Calais</w:t>
      </w:r>
      <w:r w:rsidRPr="00D33601">
        <w:rPr>
          <w:rFonts w:ascii="Century Gothic" w:hAnsi="Century Gothic"/>
          <w:sz w:val="22"/>
        </w:rPr>
        <w:t>, rapport public, conseil général des ponts et chaussées, 79 p.</w:t>
      </w:r>
    </w:p>
    <w:p w14:paraId="2CEFB532" w14:textId="77777777" w:rsidR="00D33601" w:rsidRPr="00D33601" w:rsidRDefault="00D33601" w:rsidP="00D33601">
      <w:pPr>
        <w:pStyle w:val="biblio"/>
        <w:spacing w:afterLines="100" w:after="240"/>
        <w:rPr>
          <w:rStyle w:val="Lienhypertexte"/>
          <w:rFonts w:ascii="Century Gothic" w:hAnsi="Century Gothic" w:cs="Tahoma"/>
          <w:sz w:val="22"/>
          <w:szCs w:val="22"/>
        </w:rPr>
      </w:pPr>
      <w:proofErr w:type="spellStart"/>
      <w:r w:rsidRPr="00D33601">
        <w:rPr>
          <w:rFonts w:ascii="Century Gothic" w:hAnsi="Century Gothic"/>
          <w:sz w:val="22"/>
        </w:rPr>
        <w:t>Goeldner-Gianella</w:t>
      </w:r>
      <w:proofErr w:type="spellEnd"/>
      <w:r w:rsidRPr="00D33601">
        <w:rPr>
          <w:rFonts w:ascii="Century Gothic" w:hAnsi="Century Gothic"/>
          <w:sz w:val="22"/>
        </w:rPr>
        <w:t xml:space="preserve"> L., Verger F.,</w:t>
      </w:r>
      <w:r w:rsidRPr="00D33601">
        <w:rPr>
          <w:rFonts w:ascii="Century Gothic" w:hAnsi="Century Gothic"/>
          <w:iCs/>
          <w:sz w:val="22"/>
        </w:rPr>
        <w:t xml:space="preserve"> 2009, </w:t>
      </w:r>
      <w:r w:rsidRPr="00D33601">
        <w:rPr>
          <w:rFonts w:ascii="Century Gothic" w:hAnsi="Century Gothic"/>
          <w:i/>
          <w:iCs/>
          <w:sz w:val="22"/>
        </w:rPr>
        <w:t>Du "Polder" à la "</w:t>
      </w:r>
      <w:proofErr w:type="spellStart"/>
      <w:r w:rsidRPr="00D33601">
        <w:rPr>
          <w:rFonts w:ascii="Century Gothic" w:hAnsi="Century Gothic"/>
          <w:i/>
          <w:iCs/>
          <w:sz w:val="22"/>
        </w:rPr>
        <w:t>Dépoldérisation</w:t>
      </w:r>
      <w:proofErr w:type="spellEnd"/>
      <w:r w:rsidRPr="00D33601">
        <w:rPr>
          <w:rFonts w:ascii="Century Gothic" w:hAnsi="Century Gothic"/>
          <w:i/>
          <w:iCs/>
          <w:sz w:val="22"/>
        </w:rPr>
        <w:t>"</w:t>
      </w:r>
      <w:r w:rsidRPr="00D33601">
        <w:rPr>
          <w:rFonts w:ascii="Century Gothic" w:hAnsi="Century Gothic"/>
          <w:sz w:val="22"/>
        </w:rPr>
        <w:t>, L'Espace Géographique, Vol.38, No.4, pp. 376-377</w:t>
      </w:r>
    </w:p>
    <w:p w14:paraId="3E5D7AD1" w14:textId="77777777" w:rsidR="00D33601" w:rsidRPr="00D33601" w:rsidRDefault="00D33601" w:rsidP="00D33601">
      <w:pPr>
        <w:pStyle w:val="biblio"/>
        <w:spacing w:afterLines="100" w:after="240"/>
        <w:rPr>
          <w:rFonts w:ascii="Century Gothic" w:hAnsi="Century Gothic"/>
          <w:sz w:val="22"/>
          <w:lang w:eastAsia="fr-FR"/>
        </w:rPr>
      </w:pPr>
      <w:proofErr w:type="spellStart"/>
      <w:r w:rsidRPr="00D33601">
        <w:rPr>
          <w:rFonts w:ascii="Century Gothic" w:hAnsi="Century Gothic"/>
          <w:sz w:val="22"/>
          <w:lang w:eastAsia="fr-FR"/>
        </w:rPr>
        <w:t>Maspataud</w:t>
      </w:r>
      <w:proofErr w:type="spellEnd"/>
      <w:r w:rsidRPr="00D33601">
        <w:rPr>
          <w:rFonts w:ascii="Century Gothic" w:hAnsi="Century Gothic"/>
          <w:sz w:val="22"/>
          <w:lang w:eastAsia="fr-FR"/>
        </w:rPr>
        <w:t xml:space="preserve"> A., 2011, </w:t>
      </w:r>
      <w:r w:rsidRPr="00D33601">
        <w:rPr>
          <w:rFonts w:ascii="Century Gothic" w:hAnsi="Century Gothic"/>
          <w:i/>
          <w:sz w:val="22"/>
          <w:lang w:eastAsia="fr-FR"/>
        </w:rPr>
        <w:t xml:space="preserve">Impacts des tempêtes sur la </w:t>
      </w:r>
      <w:proofErr w:type="spellStart"/>
      <w:r w:rsidRPr="00D33601">
        <w:rPr>
          <w:rFonts w:ascii="Century Gothic" w:hAnsi="Century Gothic"/>
          <w:i/>
          <w:sz w:val="22"/>
          <w:lang w:eastAsia="fr-FR"/>
        </w:rPr>
        <w:t>morphodynamique</w:t>
      </w:r>
      <w:proofErr w:type="spellEnd"/>
      <w:r w:rsidRPr="00D33601">
        <w:rPr>
          <w:rFonts w:ascii="Century Gothic" w:hAnsi="Century Gothic"/>
          <w:i/>
          <w:sz w:val="22"/>
          <w:lang w:eastAsia="fr-FR"/>
        </w:rPr>
        <w:t xml:space="preserve"> du profil côtier en milieu </w:t>
      </w:r>
      <w:proofErr w:type="spellStart"/>
      <w:r w:rsidRPr="00D33601">
        <w:rPr>
          <w:rFonts w:ascii="Century Gothic" w:hAnsi="Century Gothic"/>
          <w:i/>
          <w:sz w:val="22"/>
          <w:lang w:eastAsia="fr-FR"/>
        </w:rPr>
        <w:t>macrotidal</w:t>
      </w:r>
      <w:proofErr w:type="spellEnd"/>
      <w:r w:rsidRPr="00D33601">
        <w:rPr>
          <w:rFonts w:ascii="Century Gothic" w:hAnsi="Century Gothic"/>
          <w:sz w:val="22"/>
          <w:lang w:eastAsia="fr-FR"/>
        </w:rPr>
        <w:t>, thèse de Doctorat, Université du Littoral Côte d’Opale, 514 p.</w:t>
      </w:r>
    </w:p>
    <w:p w14:paraId="42014E7C" w14:textId="77777777" w:rsidR="00D33601" w:rsidRPr="00D33601" w:rsidRDefault="00D33601" w:rsidP="00D33601">
      <w:pPr>
        <w:pStyle w:val="biblio"/>
        <w:spacing w:afterLines="100" w:after="240"/>
        <w:rPr>
          <w:rFonts w:ascii="Century Gothic" w:hAnsi="Century Gothic"/>
          <w:sz w:val="22"/>
        </w:rPr>
      </w:pPr>
      <w:proofErr w:type="spellStart"/>
      <w:r w:rsidRPr="00D33601">
        <w:rPr>
          <w:rFonts w:ascii="Century Gothic" w:hAnsi="Century Gothic"/>
          <w:sz w:val="22"/>
        </w:rPr>
        <w:t>Maspataud</w:t>
      </w:r>
      <w:proofErr w:type="spellEnd"/>
      <w:r w:rsidRPr="00D33601">
        <w:rPr>
          <w:rFonts w:ascii="Century Gothic" w:hAnsi="Century Gothic"/>
          <w:sz w:val="22"/>
        </w:rPr>
        <w:t xml:space="preserve"> A., Ruz M.H., </w:t>
      </w:r>
      <w:proofErr w:type="spellStart"/>
      <w:r w:rsidRPr="00D33601">
        <w:rPr>
          <w:rFonts w:ascii="Century Gothic" w:hAnsi="Century Gothic"/>
          <w:sz w:val="22"/>
        </w:rPr>
        <w:t>Vanhée</w:t>
      </w:r>
      <w:proofErr w:type="spellEnd"/>
      <w:r w:rsidRPr="00D33601">
        <w:rPr>
          <w:rFonts w:ascii="Century Gothic" w:hAnsi="Century Gothic"/>
          <w:sz w:val="22"/>
        </w:rPr>
        <w:t xml:space="preserve"> S., 2010, </w:t>
      </w:r>
      <w:r w:rsidRPr="00D33601">
        <w:rPr>
          <w:rFonts w:ascii="Century Gothic" w:hAnsi="Century Gothic"/>
          <w:i/>
          <w:sz w:val="22"/>
        </w:rPr>
        <w:t xml:space="preserve">Impacts potentiels de </w:t>
      </w:r>
      <w:proofErr w:type="spellStart"/>
      <w:r w:rsidRPr="00D33601">
        <w:rPr>
          <w:rFonts w:ascii="Century Gothic" w:hAnsi="Century Gothic"/>
          <w:i/>
          <w:sz w:val="22"/>
        </w:rPr>
        <w:t>confitions</w:t>
      </w:r>
      <w:proofErr w:type="spellEnd"/>
      <w:r w:rsidRPr="00D33601">
        <w:rPr>
          <w:rFonts w:ascii="Century Gothic" w:hAnsi="Century Gothic"/>
          <w:i/>
          <w:sz w:val="22"/>
        </w:rPr>
        <w:t xml:space="preserve"> météo-marines extrêmes sur une côte basse densément peuplée : le cas du littoral dunkerquois</w:t>
      </w:r>
      <w:r w:rsidRPr="00D33601">
        <w:rPr>
          <w:rFonts w:ascii="Century Gothic" w:hAnsi="Century Gothic"/>
          <w:sz w:val="22"/>
        </w:rPr>
        <w:t>, Nord de la France, Journée « Impacts du changement climatique sur les risques côtiers », 15-16 novembre 2010, Orléans, France, 4 p.</w:t>
      </w:r>
    </w:p>
    <w:p w14:paraId="1AF1B0FE" w14:textId="77777777" w:rsidR="00D33601" w:rsidRPr="00D33601" w:rsidRDefault="00D33601" w:rsidP="00D33601">
      <w:pPr>
        <w:pStyle w:val="biblio"/>
        <w:spacing w:afterLines="100" w:after="240"/>
        <w:rPr>
          <w:rFonts w:ascii="Century Gothic" w:hAnsi="Century Gothic"/>
          <w:sz w:val="22"/>
        </w:rPr>
      </w:pPr>
      <w:proofErr w:type="spellStart"/>
      <w:r w:rsidRPr="00D33601">
        <w:rPr>
          <w:rFonts w:ascii="Century Gothic" w:hAnsi="Century Gothic"/>
          <w:sz w:val="22"/>
        </w:rPr>
        <w:t>Maspataud</w:t>
      </w:r>
      <w:proofErr w:type="spellEnd"/>
      <w:r w:rsidRPr="00D33601">
        <w:rPr>
          <w:rFonts w:ascii="Century Gothic" w:hAnsi="Century Gothic"/>
          <w:sz w:val="22"/>
        </w:rPr>
        <w:t xml:space="preserve"> A., Ruz M.H., </w:t>
      </w:r>
      <w:proofErr w:type="spellStart"/>
      <w:r w:rsidRPr="00D33601">
        <w:rPr>
          <w:rFonts w:ascii="Century Gothic" w:hAnsi="Century Gothic"/>
          <w:sz w:val="22"/>
        </w:rPr>
        <w:t>Héquette</w:t>
      </w:r>
      <w:proofErr w:type="spellEnd"/>
      <w:r w:rsidRPr="00D33601">
        <w:rPr>
          <w:rFonts w:ascii="Century Gothic" w:hAnsi="Century Gothic"/>
          <w:sz w:val="22"/>
        </w:rPr>
        <w:t xml:space="preserve"> A., 2012, </w:t>
      </w:r>
      <w:r w:rsidRPr="00D33601">
        <w:rPr>
          <w:rFonts w:ascii="Century Gothic" w:hAnsi="Century Gothic"/>
          <w:i/>
          <w:sz w:val="22"/>
        </w:rPr>
        <w:t xml:space="preserve">Vulnérabilité d’une côte basse </w:t>
      </w:r>
      <w:proofErr w:type="spellStart"/>
      <w:r w:rsidRPr="00D33601">
        <w:rPr>
          <w:rFonts w:ascii="Century Gothic" w:hAnsi="Century Gothic"/>
          <w:i/>
          <w:sz w:val="22"/>
        </w:rPr>
        <w:t>macrotidale</w:t>
      </w:r>
      <w:proofErr w:type="spellEnd"/>
      <w:r w:rsidRPr="00D33601">
        <w:rPr>
          <w:rFonts w:ascii="Century Gothic" w:hAnsi="Century Gothic"/>
          <w:i/>
          <w:sz w:val="22"/>
        </w:rPr>
        <w:t xml:space="preserve"> face à l’érosion et la submersion marine lors de tempêtes : enseignements du passé, apports des mesures in-situ et de la modélisation numériques sur le littoral Dunkerquois (Nord de la France)</w:t>
      </w:r>
      <w:r w:rsidRPr="00D33601">
        <w:rPr>
          <w:rFonts w:ascii="Century Gothic" w:hAnsi="Century Gothic"/>
          <w:sz w:val="22"/>
        </w:rPr>
        <w:t>, congrès SHF : « Evènements extrêmes fluviaux et maritimes », 1-2 février 2012, Paris, 8 p.</w:t>
      </w:r>
    </w:p>
    <w:p w14:paraId="0925AFD9" w14:textId="77777777" w:rsidR="00D33601" w:rsidRPr="00D33601" w:rsidRDefault="00D33601" w:rsidP="00D33601">
      <w:pPr>
        <w:pStyle w:val="biblio"/>
        <w:spacing w:afterLines="100" w:after="240"/>
        <w:rPr>
          <w:rFonts w:ascii="Century Gothic" w:hAnsi="Century Gothic"/>
          <w:sz w:val="22"/>
          <w:lang w:val="en-US"/>
        </w:rPr>
      </w:pPr>
      <w:proofErr w:type="spellStart"/>
      <w:r w:rsidRPr="00D33601">
        <w:rPr>
          <w:rFonts w:ascii="Century Gothic" w:hAnsi="Century Gothic"/>
          <w:sz w:val="22"/>
          <w:lang w:val="en-US"/>
        </w:rPr>
        <w:t>Maspataud</w:t>
      </w:r>
      <w:proofErr w:type="spellEnd"/>
      <w:r w:rsidRPr="00D33601">
        <w:rPr>
          <w:rFonts w:ascii="Century Gothic" w:hAnsi="Century Gothic"/>
          <w:sz w:val="22"/>
          <w:lang w:val="en-US"/>
        </w:rPr>
        <w:t xml:space="preserve"> A., </w:t>
      </w:r>
      <w:proofErr w:type="spellStart"/>
      <w:r w:rsidRPr="00D33601">
        <w:rPr>
          <w:rFonts w:ascii="Century Gothic" w:hAnsi="Century Gothic"/>
          <w:sz w:val="22"/>
          <w:lang w:val="en-US"/>
        </w:rPr>
        <w:t>Ruz</w:t>
      </w:r>
      <w:proofErr w:type="spellEnd"/>
      <w:r w:rsidRPr="00D33601">
        <w:rPr>
          <w:rFonts w:ascii="Century Gothic" w:hAnsi="Century Gothic"/>
          <w:sz w:val="22"/>
          <w:lang w:val="en-US"/>
        </w:rPr>
        <w:t xml:space="preserve"> M-H., </w:t>
      </w:r>
      <w:proofErr w:type="spellStart"/>
      <w:r w:rsidRPr="00D33601">
        <w:rPr>
          <w:rFonts w:ascii="Century Gothic" w:hAnsi="Century Gothic"/>
          <w:sz w:val="22"/>
          <w:lang w:val="en-US"/>
        </w:rPr>
        <w:t>Vanhée</w:t>
      </w:r>
      <w:proofErr w:type="spellEnd"/>
      <w:r w:rsidRPr="00D33601">
        <w:rPr>
          <w:rFonts w:ascii="Century Gothic" w:hAnsi="Century Gothic"/>
          <w:sz w:val="22"/>
          <w:lang w:val="en-US"/>
        </w:rPr>
        <w:t xml:space="preserve"> S., 2013, </w:t>
      </w:r>
      <w:r w:rsidRPr="00D33601">
        <w:rPr>
          <w:rFonts w:ascii="Century Gothic" w:hAnsi="Century Gothic"/>
          <w:i/>
          <w:sz w:val="22"/>
          <w:lang w:val="en-US"/>
        </w:rPr>
        <w:t xml:space="preserve">Potential impacts of extreme storm surges on a low-lying densely populated </w:t>
      </w:r>
      <w:proofErr w:type="gramStart"/>
      <w:r w:rsidRPr="00D33601">
        <w:rPr>
          <w:rFonts w:ascii="Century Gothic" w:hAnsi="Century Gothic"/>
          <w:i/>
          <w:sz w:val="22"/>
          <w:lang w:val="en-US"/>
        </w:rPr>
        <w:t>coastline :</w:t>
      </w:r>
      <w:proofErr w:type="gramEnd"/>
      <w:r w:rsidRPr="00D33601">
        <w:rPr>
          <w:rFonts w:ascii="Century Gothic" w:hAnsi="Century Gothic"/>
          <w:i/>
          <w:sz w:val="22"/>
          <w:lang w:val="en-US"/>
        </w:rPr>
        <w:t xml:space="preserve"> the case of Dunkirk area, Northern France</w:t>
      </w:r>
      <w:r w:rsidRPr="00D33601">
        <w:rPr>
          <w:rFonts w:ascii="Century Gothic" w:hAnsi="Century Gothic"/>
          <w:sz w:val="22"/>
          <w:lang w:val="en-US"/>
        </w:rPr>
        <w:t>, Natural Hazards, Vol. 66, pp.1327-1343</w:t>
      </w:r>
    </w:p>
    <w:p w14:paraId="702AD149" w14:textId="77777777" w:rsidR="00D33601" w:rsidRPr="00D33601" w:rsidRDefault="00D33601" w:rsidP="00D33601">
      <w:pPr>
        <w:pStyle w:val="biblio"/>
        <w:spacing w:afterLines="100" w:after="240"/>
        <w:rPr>
          <w:rFonts w:ascii="Century Gothic" w:hAnsi="Century Gothic" w:cs="Calibri"/>
          <w:sz w:val="22"/>
        </w:rPr>
      </w:pPr>
      <w:proofErr w:type="spellStart"/>
      <w:r w:rsidRPr="00D33601">
        <w:rPr>
          <w:rFonts w:ascii="Century Gothic" w:hAnsi="Century Gothic" w:cs="Calibri"/>
          <w:sz w:val="22"/>
        </w:rPr>
        <w:t>McRobie</w:t>
      </w:r>
      <w:proofErr w:type="spellEnd"/>
      <w:r w:rsidRPr="00D33601">
        <w:rPr>
          <w:rFonts w:ascii="Century Gothic" w:hAnsi="Century Gothic" w:cs="Calibri"/>
          <w:sz w:val="22"/>
        </w:rPr>
        <w:t xml:space="preserve"> A., Spencer T., </w:t>
      </w:r>
      <w:proofErr w:type="spellStart"/>
      <w:r w:rsidRPr="00D33601">
        <w:rPr>
          <w:rFonts w:ascii="Century Gothic" w:hAnsi="Century Gothic" w:cs="Calibri"/>
          <w:sz w:val="22"/>
        </w:rPr>
        <w:t>G</w:t>
      </w:r>
      <w:bookmarkStart w:id="0" w:name="_GoBack"/>
      <w:bookmarkEnd w:id="0"/>
      <w:r w:rsidRPr="00D33601">
        <w:rPr>
          <w:rFonts w:ascii="Century Gothic" w:hAnsi="Century Gothic" w:cs="Calibri"/>
          <w:sz w:val="22"/>
        </w:rPr>
        <w:t>erritsen</w:t>
      </w:r>
      <w:proofErr w:type="spellEnd"/>
      <w:r w:rsidRPr="00D33601">
        <w:rPr>
          <w:rFonts w:ascii="Century Gothic" w:hAnsi="Century Gothic" w:cs="Calibri"/>
          <w:sz w:val="22"/>
        </w:rPr>
        <w:t xml:space="preserve"> H., 2005, The </w:t>
      </w:r>
      <w:proofErr w:type="spellStart"/>
      <w:r w:rsidRPr="00D33601">
        <w:rPr>
          <w:rFonts w:ascii="Century Gothic" w:hAnsi="Century Gothic" w:cs="Calibri"/>
          <w:sz w:val="22"/>
        </w:rPr>
        <w:t>big</w:t>
      </w:r>
      <w:proofErr w:type="spellEnd"/>
      <w:r w:rsidRPr="00D33601">
        <w:rPr>
          <w:rFonts w:ascii="Century Gothic" w:hAnsi="Century Gothic" w:cs="Calibri"/>
          <w:sz w:val="22"/>
        </w:rPr>
        <w:t xml:space="preserve"> </w:t>
      </w:r>
      <w:proofErr w:type="gramStart"/>
      <w:r w:rsidRPr="00D33601">
        <w:rPr>
          <w:rFonts w:ascii="Century Gothic" w:hAnsi="Century Gothic" w:cs="Calibri"/>
          <w:sz w:val="22"/>
        </w:rPr>
        <w:t>flood:</w:t>
      </w:r>
      <w:proofErr w:type="gramEnd"/>
      <w:r w:rsidRPr="00D33601">
        <w:rPr>
          <w:rFonts w:ascii="Century Gothic" w:hAnsi="Century Gothic" w:cs="Calibri"/>
          <w:sz w:val="22"/>
        </w:rPr>
        <w:t xml:space="preserve"> </w:t>
      </w:r>
      <w:proofErr w:type="spellStart"/>
      <w:r w:rsidRPr="00D33601">
        <w:rPr>
          <w:rFonts w:ascii="Century Gothic" w:hAnsi="Century Gothic" w:cs="Calibri"/>
          <w:sz w:val="22"/>
        </w:rPr>
        <w:t>North</w:t>
      </w:r>
      <w:proofErr w:type="spellEnd"/>
      <w:r w:rsidRPr="00D33601">
        <w:rPr>
          <w:rFonts w:ascii="Century Gothic" w:hAnsi="Century Gothic" w:cs="Calibri"/>
          <w:sz w:val="22"/>
        </w:rPr>
        <w:t xml:space="preserve"> </w:t>
      </w:r>
      <w:proofErr w:type="spellStart"/>
      <w:r w:rsidRPr="00D33601">
        <w:rPr>
          <w:rFonts w:ascii="Century Gothic" w:hAnsi="Century Gothic" w:cs="Calibri"/>
          <w:sz w:val="22"/>
        </w:rPr>
        <w:t>Sea</w:t>
      </w:r>
      <w:proofErr w:type="spellEnd"/>
      <w:r w:rsidRPr="00D33601">
        <w:rPr>
          <w:rFonts w:ascii="Century Gothic" w:hAnsi="Century Gothic" w:cs="Calibri"/>
          <w:sz w:val="22"/>
        </w:rPr>
        <w:t xml:space="preserve"> </w:t>
      </w:r>
      <w:proofErr w:type="spellStart"/>
      <w:r w:rsidRPr="00D33601">
        <w:rPr>
          <w:rFonts w:ascii="Century Gothic" w:hAnsi="Century Gothic" w:cs="Calibri"/>
          <w:sz w:val="22"/>
        </w:rPr>
        <w:t>storm</w:t>
      </w:r>
      <w:proofErr w:type="spellEnd"/>
      <w:r w:rsidRPr="00D33601">
        <w:rPr>
          <w:rFonts w:ascii="Century Gothic" w:hAnsi="Century Gothic" w:cs="Calibri"/>
          <w:sz w:val="22"/>
        </w:rPr>
        <w:t xml:space="preserve"> </w:t>
      </w:r>
      <w:proofErr w:type="spellStart"/>
      <w:r w:rsidRPr="00D33601">
        <w:rPr>
          <w:rFonts w:ascii="Century Gothic" w:hAnsi="Century Gothic" w:cs="Calibri"/>
          <w:sz w:val="22"/>
        </w:rPr>
        <w:t>surge</w:t>
      </w:r>
      <w:proofErr w:type="spellEnd"/>
      <w:r w:rsidRPr="00D33601">
        <w:rPr>
          <w:rFonts w:ascii="Century Gothic" w:hAnsi="Century Gothic" w:cs="Calibri"/>
          <w:sz w:val="22"/>
        </w:rPr>
        <w:t xml:space="preserve">, </w:t>
      </w:r>
      <w:proofErr w:type="spellStart"/>
      <w:r w:rsidRPr="00D33601">
        <w:rPr>
          <w:rFonts w:ascii="Century Gothic" w:hAnsi="Century Gothic" w:cs="Calibri"/>
          <w:sz w:val="22"/>
        </w:rPr>
        <w:t>Philosophical</w:t>
      </w:r>
      <w:proofErr w:type="spellEnd"/>
      <w:r w:rsidRPr="00D33601">
        <w:rPr>
          <w:rFonts w:ascii="Century Gothic" w:hAnsi="Century Gothic" w:cs="Calibri"/>
          <w:sz w:val="22"/>
        </w:rPr>
        <w:t xml:space="preserve"> Transactions of the Royal Society A – </w:t>
      </w:r>
      <w:proofErr w:type="spellStart"/>
      <w:r w:rsidRPr="00D33601">
        <w:rPr>
          <w:rFonts w:ascii="Century Gothic" w:hAnsi="Century Gothic" w:cs="Calibri"/>
          <w:sz w:val="22"/>
        </w:rPr>
        <w:t>Mathematical</w:t>
      </w:r>
      <w:proofErr w:type="spellEnd"/>
      <w:r w:rsidRPr="00D33601">
        <w:rPr>
          <w:rFonts w:ascii="Century Gothic" w:hAnsi="Century Gothic" w:cs="Calibri"/>
          <w:sz w:val="22"/>
        </w:rPr>
        <w:t>, Physical ans Engineering Sciences, Vol.363, pp.1263–1270</w:t>
      </w:r>
    </w:p>
    <w:p w14:paraId="1A831545" w14:textId="77777777" w:rsidR="00D33601" w:rsidRPr="00D33601" w:rsidRDefault="00D33601" w:rsidP="00D33601">
      <w:pPr>
        <w:pStyle w:val="biblio"/>
        <w:spacing w:afterLines="100" w:after="240"/>
        <w:rPr>
          <w:rFonts w:ascii="Century Gothic" w:hAnsi="Century Gothic" w:cs="Calibri"/>
          <w:sz w:val="22"/>
        </w:rPr>
      </w:pPr>
      <w:r w:rsidRPr="00D33601">
        <w:rPr>
          <w:rFonts w:ascii="Century Gothic" w:hAnsi="Century Gothic"/>
          <w:sz w:val="22"/>
        </w:rPr>
        <w:t xml:space="preserve">De </w:t>
      </w:r>
      <w:proofErr w:type="spellStart"/>
      <w:r w:rsidRPr="00D33601">
        <w:rPr>
          <w:rFonts w:ascii="Century Gothic" w:hAnsi="Century Gothic"/>
          <w:sz w:val="22"/>
        </w:rPr>
        <w:t>Singly</w:t>
      </w:r>
      <w:proofErr w:type="spellEnd"/>
      <w:r w:rsidRPr="00D33601">
        <w:rPr>
          <w:rFonts w:ascii="Century Gothic" w:hAnsi="Century Gothic"/>
          <w:sz w:val="22"/>
        </w:rPr>
        <w:t xml:space="preserve"> F., 2005, </w:t>
      </w:r>
      <w:r w:rsidRPr="00D33601">
        <w:rPr>
          <w:rFonts w:ascii="Century Gothic" w:hAnsi="Century Gothic"/>
          <w:i/>
          <w:sz w:val="22"/>
        </w:rPr>
        <w:t>L'enquête et ses méthodes - Le Questionnaire</w:t>
      </w:r>
      <w:r w:rsidRPr="00D33601">
        <w:rPr>
          <w:rFonts w:ascii="Century Gothic" w:hAnsi="Century Gothic"/>
          <w:sz w:val="22"/>
        </w:rPr>
        <w:t>, Saint-Germain-du-Puy, Armand Colin, 128 p.</w:t>
      </w:r>
    </w:p>
    <w:p w14:paraId="202C67E3" w14:textId="77777777" w:rsidR="00D33601" w:rsidRPr="00D33601" w:rsidRDefault="00D33601" w:rsidP="00D33601">
      <w:pPr>
        <w:pStyle w:val="biblio"/>
        <w:spacing w:afterLines="100" w:after="240"/>
        <w:rPr>
          <w:rFonts w:ascii="Century Gothic" w:hAnsi="Century Gothic"/>
          <w:sz w:val="22"/>
        </w:rPr>
      </w:pPr>
      <w:proofErr w:type="spellStart"/>
      <w:r w:rsidRPr="00D33601">
        <w:rPr>
          <w:rFonts w:ascii="Century Gothic" w:hAnsi="Century Gothic"/>
          <w:sz w:val="22"/>
        </w:rPr>
        <w:t>Combessie</w:t>
      </w:r>
      <w:proofErr w:type="spellEnd"/>
      <w:r w:rsidRPr="00D33601">
        <w:rPr>
          <w:rFonts w:ascii="Century Gothic" w:hAnsi="Century Gothic"/>
          <w:sz w:val="22"/>
        </w:rPr>
        <w:t xml:space="preserve"> J.C., 2007, </w:t>
      </w:r>
      <w:r w:rsidRPr="00D33601">
        <w:rPr>
          <w:rFonts w:ascii="Century Gothic" w:hAnsi="Century Gothic"/>
          <w:i/>
          <w:sz w:val="22"/>
        </w:rPr>
        <w:t>La méthode en sociologie</w:t>
      </w:r>
      <w:r w:rsidRPr="00D33601">
        <w:rPr>
          <w:rFonts w:ascii="Century Gothic" w:hAnsi="Century Gothic"/>
          <w:sz w:val="22"/>
        </w:rPr>
        <w:t>, La Découverte, Paris, 128 p.</w:t>
      </w:r>
    </w:p>
    <w:p w14:paraId="4FA2990E" w14:textId="77777777" w:rsidR="00D33601" w:rsidRPr="00D33601" w:rsidRDefault="00D33601" w:rsidP="00D33601">
      <w:pPr>
        <w:pStyle w:val="biblio"/>
        <w:spacing w:afterLines="100" w:after="240"/>
        <w:rPr>
          <w:rFonts w:ascii="Century Gothic" w:hAnsi="Century Gothic"/>
          <w:sz w:val="22"/>
          <w:lang w:val="en-US"/>
        </w:rPr>
      </w:pPr>
      <w:r w:rsidRPr="00D33601">
        <w:rPr>
          <w:rFonts w:ascii="Century Gothic" w:hAnsi="Century Gothic"/>
          <w:sz w:val="22"/>
          <w:lang w:val="en-US"/>
        </w:rPr>
        <w:t xml:space="preserve">Smith K., </w:t>
      </w:r>
      <w:proofErr w:type="spellStart"/>
      <w:r w:rsidRPr="00D33601">
        <w:rPr>
          <w:rFonts w:ascii="Century Gothic" w:hAnsi="Century Gothic"/>
          <w:sz w:val="22"/>
          <w:lang w:val="en-US"/>
        </w:rPr>
        <w:t>Petley</w:t>
      </w:r>
      <w:proofErr w:type="spellEnd"/>
      <w:r w:rsidRPr="00D33601">
        <w:rPr>
          <w:rFonts w:ascii="Century Gothic" w:hAnsi="Century Gothic"/>
          <w:sz w:val="22"/>
          <w:lang w:val="en-US"/>
        </w:rPr>
        <w:t xml:space="preserve"> D.N., 2008, </w:t>
      </w:r>
      <w:r w:rsidRPr="00D33601">
        <w:rPr>
          <w:rFonts w:ascii="Century Gothic" w:hAnsi="Century Gothic"/>
          <w:i/>
          <w:sz w:val="22"/>
          <w:lang w:val="en-US"/>
        </w:rPr>
        <w:t>Environmental Hazards. Assessing Risk and Reducing Disaster</w:t>
      </w:r>
      <w:r w:rsidRPr="00D33601">
        <w:rPr>
          <w:rFonts w:ascii="Century Gothic" w:hAnsi="Century Gothic"/>
          <w:sz w:val="22"/>
          <w:lang w:val="en-US"/>
        </w:rPr>
        <w:t xml:space="preserve">, Routledge, Fifth edition, </w:t>
      </w:r>
      <w:proofErr w:type="spellStart"/>
      <w:r w:rsidRPr="00D33601">
        <w:rPr>
          <w:rFonts w:ascii="Century Gothic" w:hAnsi="Century Gothic"/>
          <w:sz w:val="22"/>
          <w:lang w:val="en-US"/>
        </w:rPr>
        <w:t>Londres</w:t>
      </w:r>
      <w:proofErr w:type="spellEnd"/>
      <w:r w:rsidRPr="00D33601">
        <w:rPr>
          <w:rFonts w:ascii="Century Gothic" w:hAnsi="Century Gothic"/>
          <w:sz w:val="22"/>
          <w:lang w:val="en-US"/>
        </w:rPr>
        <w:t>, 383 p.</w:t>
      </w:r>
    </w:p>
    <w:p w14:paraId="63625BA7" w14:textId="77777777" w:rsidR="00D33601" w:rsidRPr="00D33601" w:rsidRDefault="00D33601" w:rsidP="00D33601">
      <w:pPr>
        <w:pStyle w:val="biblio"/>
        <w:spacing w:afterLines="100" w:after="240"/>
        <w:rPr>
          <w:rFonts w:ascii="Century Gothic" w:hAnsi="Century Gothic" w:cs="Calibri"/>
          <w:sz w:val="22"/>
        </w:rPr>
      </w:pPr>
      <w:r w:rsidRPr="00D33601">
        <w:rPr>
          <w:rFonts w:ascii="Century Gothic" w:hAnsi="Century Gothic" w:cs="Calibri"/>
          <w:sz w:val="22"/>
        </w:rPr>
        <w:lastRenderedPageBreak/>
        <w:t xml:space="preserve">Le Blanc A., 2006, </w:t>
      </w:r>
      <w:r w:rsidRPr="00D33601">
        <w:rPr>
          <w:rFonts w:ascii="Century Gothic" w:hAnsi="Century Gothic" w:cs="Calibri"/>
          <w:i/>
          <w:sz w:val="22"/>
        </w:rPr>
        <w:t xml:space="preserve">Les politiques de conservation du patrimoine urbain comme outils de gestion du risque sismique. Trois exemples en Italie : </w:t>
      </w:r>
      <w:proofErr w:type="spellStart"/>
      <w:r w:rsidRPr="00D33601">
        <w:rPr>
          <w:rFonts w:ascii="Century Gothic" w:hAnsi="Century Gothic" w:cs="Calibri"/>
          <w:i/>
          <w:sz w:val="22"/>
        </w:rPr>
        <w:t>Noto</w:t>
      </w:r>
      <w:proofErr w:type="spellEnd"/>
      <w:r w:rsidRPr="00D33601">
        <w:rPr>
          <w:rFonts w:ascii="Century Gothic" w:hAnsi="Century Gothic" w:cs="Calibri"/>
          <w:i/>
          <w:sz w:val="22"/>
        </w:rPr>
        <w:t xml:space="preserve">, Assise, </w:t>
      </w:r>
      <w:proofErr w:type="spellStart"/>
      <w:r w:rsidRPr="00D33601">
        <w:rPr>
          <w:rFonts w:ascii="Century Gothic" w:hAnsi="Century Gothic" w:cs="Calibri"/>
          <w:i/>
          <w:sz w:val="22"/>
        </w:rPr>
        <w:t>Gémone</w:t>
      </w:r>
      <w:proofErr w:type="spellEnd"/>
      <w:r w:rsidRPr="00D33601">
        <w:rPr>
          <w:rFonts w:ascii="Century Gothic" w:hAnsi="Century Gothic" w:cs="Calibri"/>
          <w:sz w:val="22"/>
        </w:rPr>
        <w:t>, Thèse de Doctorat, université de Provence (Aix-Marseille I), 471 p.</w:t>
      </w:r>
    </w:p>
    <w:p w14:paraId="2273F56D" w14:textId="77777777" w:rsidR="00D33601" w:rsidRPr="00D33601" w:rsidRDefault="00D33601" w:rsidP="00D33601">
      <w:pPr>
        <w:pStyle w:val="biblio"/>
        <w:spacing w:afterLines="100" w:after="240"/>
        <w:rPr>
          <w:rFonts w:ascii="Century Gothic" w:hAnsi="Century Gothic" w:cs="Calibri"/>
          <w:sz w:val="22"/>
        </w:rPr>
      </w:pPr>
      <w:r w:rsidRPr="00D33601">
        <w:rPr>
          <w:rFonts w:ascii="Century Gothic" w:hAnsi="Century Gothic" w:cs="Calibri"/>
          <w:sz w:val="22"/>
        </w:rPr>
        <w:t xml:space="preserve">Vinet F., 2010, </w:t>
      </w:r>
      <w:r w:rsidRPr="00D33601">
        <w:rPr>
          <w:rFonts w:ascii="Century Gothic" w:hAnsi="Century Gothic" w:cs="Calibri"/>
          <w:i/>
          <w:sz w:val="22"/>
        </w:rPr>
        <w:t>Le risque inondation. Diagnostic et gestion</w:t>
      </w:r>
      <w:r w:rsidRPr="00D33601">
        <w:rPr>
          <w:rFonts w:ascii="Century Gothic" w:hAnsi="Century Gothic" w:cs="Calibri"/>
          <w:sz w:val="22"/>
        </w:rPr>
        <w:t>, Lavoisier, Paris, 318 p.</w:t>
      </w:r>
    </w:p>
    <w:p w14:paraId="3984D990" w14:textId="77777777" w:rsidR="00D33601" w:rsidRPr="00D33601" w:rsidRDefault="00D33601" w:rsidP="00D33601">
      <w:pPr>
        <w:pStyle w:val="biblio"/>
        <w:spacing w:afterLines="100" w:after="240"/>
        <w:rPr>
          <w:rFonts w:ascii="Century Gothic" w:hAnsi="Century Gothic"/>
          <w:sz w:val="22"/>
        </w:rPr>
      </w:pPr>
      <w:r w:rsidRPr="00D33601">
        <w:rPr>
          <w:rFonts w:ascii="Century Gothic" w:hAnsi="Century Gothic"/>
          <w:sz w:val="22"/>
        </w:rPr>
        <w:t xml:space="preserve">Beck U., 2001, </w:t>
      </w:r>
      <w:r w:rsidRPr="00D33601">
        <w:rPr>
          <w:rFonts w:ascii="Century Gothic" w:hAnsi="Century Gothic"/>
          <w:i/>
          <w:sz w:val="22"/>
        </w:rPr>
        <w:t>La société du risque. Sur la voie d'une autre modernité</w:t>
      </w:r>
      <w:r w:rsidRPr="00D33601">
        <w:rPr>
          <w:rFonts w:ascii="Century Gothic" w:hAnsi="Century Gothic"/>
          <w:sz w:val="22"/>
        </w:rPr>
        <w:t>, Paris, Aubier, Flammarion, 521 p.</w:t>
      </w:r>
    </w:p>
    <w:p w14:paraId="4730D874" w14:textId="77777777" w:rsidR="00D33601" w:rsidRPr="00823D28" w:rsidRDefault="00D33601" w:rsidP="00D33601">
      <w:pPr>
        <w:pStyle w:val="biblio"/>
        <w:spacing w:afterLines="100" w:after="240"/>
        <w:rPr>
          <w:lang w:val="en-US"/>
        </w:rPr>
      </w:pPr>
      <w:proofErr w:type="spellStart"/>
      <w:r w:rsidRPr="00D33601">
        <w:rPr>
          <w:rFonts w:ascii="Century Gothic" w:hAnsi="Century Gothic"/>
          <w:sz w:val="22"/>
          <w:lang w:val="en-US"/>
        </w:rPr>
        <w:t>Fischhoff</w:t>
      </w:r>
      <w:proofErr w:type="spellEnd"/>
      <w:r w:rsidRPr="00D33601">
        <w:rPr>
          <w:rFonts w:ascii="Century Gothic" w:hAnsi="Century Gothic"/>
          <w:sz w:val="22"/>
          <w:lang w:val="en-US"/>
        </w:rPr>
        <w:t xml:space="preserve"> B., </w:t>
      </w:r>
      <w:proofErr w:type="spellStart"/>
      <w:r w:rsidRPr="00D33601">
        <w:rPr>
          <w:rFonts w:ascii="Century Gothic" w:hAnsi="Century Gothic"/>
          <w:sz w:val="22"/>
          <w:lang w:val="en-US"/>
        </w:rPr>
        <w:t>Slovic</w:t>
      </w:r>
      <w:proofErr w:type="spellEnd"/>
      <w:r w:rsidRPr="00D33601">
        <w:rPr>
          <w:rFonts w:ascii="Century Gothic" w:hAnsi="Century Gothic"/>
          <w:sz w:val="22"/>
          <w:lang w:val="en-US"/>
        </w:rPr>
        <w:t xml:space="preserve"> P., Lichtenstein S., Read S., Combs B., 1978, </w:t>
      </w:r>
      <w:r w:rsidRPr="00D33601">
        <w:rPr>
          <w:rFonts w:ascii="Century Gothic" w:hAnsi="Century Gothic"/>
          <w:i/>
          <w:sz w:val="22"/>
          <w:lang w:val="en-US"/>
        </w:rPr>
        <w:t>How Safe is Safe Enough? A Psychometric Study of Attitudes Towards Technological Risks and Benefits</w:t>
      </w:r>
      <w:r w:rsidRPr="00D33601">
        <w:rPr>
          <w:rFonts w:ascii="Century Gothic" w:hAnsi="Century Gothic"/>
          <w:sz w:val="22"/>
          <w:lang w:val="en-US"/>
        </w:rPr>
        <w:t>, Policy Science, Elsevier Scientific Publishing Company, Amsterdam, Vol.9, No.2, pp.127-152</w:t>
      </w:r>
    </w:p>
    <w:p w14:paraId="14B24164" w14:textId="388E53C7" w:rsidR="001E66D7" w:rsidRPr="00725E13" w:rsidRDefault="001E66D7" w:rsidP="00D33601">
      <w:pPr>
        <w:pStyle w:val="Notedebasdepage"/>
        <w:rPr>
          <w:rFonts w:ascii="Century Gothic" w:hAnsi="Century Gothic"/>
          <w:sz w:val="18"/>
        </w:rPr>
      </w:pPr>
    </w:p>
    <w:sectPr w:rsidR="001E66D7" w:rsidRPr="00725E13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02F113" w14:textId="77777777" w:rsidR="00BF1EDE" w:rsidRDefault="00BF1EDE" w:rsidP="00312E4C">
      <w:pPr>
        <w:spacing w:after="0" w:line="240" w:lineRule="auto"/>
      </w:pPr>
      <w:r>
        <w:separator/>
      </w:r>
    </w:p>
  </w:endnote>
  <w:endnote w:type="continuationSeparator" w:id="0">
    <w:p w14:paraId="4C3253FA" w14:textId="77777777" w:rsidR="00BF1EDE" w:rsidRDefault="00BF1EDE" w:rsidP="00312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odum">
    <w:panose1 w:val="000005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57998571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2240B590" w14:textId="77777777" w:rsidR="00BA43D7" w:rsidRDefault="00911CDB" w:rsidP="00911CDB">
            <w:pPr>
              <w:pStyle w:val="Pieddepage"/>
              <w:jc w:val="center"/>
            </w:pPr>
            <w:r>
              <w:rPr>
                <w:i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D1E99E7" wp14:editId="1A03270F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5715</wp:posOffset>
                      </wp:positionV>
                      <wp:extent cx="5257800" cy="0"/>
                      <wp:effectExtent l="0" t="19050" r="0" b="19050"/>
                      <wp:wrapNone/>
                      <wp:docPr id="2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2578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F52EE07" id="Connecteur droit 2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65pt,.45pt" to="524.6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" strokecolor="#243f60 [1604]" strokeweight="3pt"/>
                  </w:pict>
                </mc:Fallback>
              </mc:AlternateContent>
            </w:r>
          </w:p>
          <w:p w14:paraId="2782136E" w14:textId="77777777" w:rsidR="00BA43D7" w:rsidRDefault="00911CDB" w:rsidP="00911CDB">
            <w:pPr>
              <w:pStyle w:val="Pieddepage"/>
              <w:tabs>
                <w:tab w:val="left" w:pos="5670"/>
              </w:tabs>
            </w:pPr>
            <w:r>
              <w:rPr>
                <w:bCs/>
                <w:szCs w:val="24"/>
              </w:rPr>
              <w:tab/>
            </w:r>
            <w:r w:rsidR="00BA43D7" w:rsidRPr="00911CDB">
              <w:rPr>
                <w:bCs/>
                <w:color w:val="244061" w:themeColor="accent1" w:themeShade="80"/>
                <w:szCs w:val="24"/>
              </w:rPr>
              <w:fldChar w:fldCharType="begin"/>
            </w:r>
            <w:r w:rsidR="00BA43D7" w:rsidRPr="00911CDB">
              <w:rPr>
                <w:bCs/>
                <w:color w:val="244061" w:themeColor="accent1" w:themeShade="80"/>
              </w:rPr>
              <w:instrText>PAGE</w:instrText>
            </w:r>
            <w:r w:rsidR="00BA43D7" w:rsidRPr="00911CDB">
              <w:rPr>
                <w:bCs/>
                <w:color w:val="244061" w:themeColor="accent1" w:themeShade="80"/>
                <w:szCs w:val="24"/>
              </w:rPr>
              <w:fldChar w:fldCharType="separate"/>
            </w:r>
            <w:r w:rsidR="00D33601">
              <w:rPr>
                <w:bCs/>
                <w:noProof/>
                <w:color w:val="244061" w:themeColor="accent1" w:themeShade="80"/>
              </w:rPr>
              <w:t>1</w:t>
            </w:r>
            <w:r w:rsidR="00BA43D7" w:rsidRPr="00911CDB">
              <w:rPr>
                <w:bCs/>
                <w:color w:val="244061" w:themeColor="accent1" w:themeShade="80"/>
                <w:szCs w:val="24"/>
              </w:rPr>
              <w:fldChar w:fldCharType="end"/>
            </w:r>
            <w:r w:rsidR="00BA43D7" w:rsidRPr="00911CDB">
              <w:rPr>
                <w:color w:val="244061" w:themeColor="accent1" w:themeShade="80"/>
              </w:rPr>
              <w:t xml:space="preserve"> / </w:t>
            </w:r>
            <w:r w:rsidR="00BA43D7" w:rsidRPr="00911CDB">
              <w:rPr>
                <w:bCs/>
                <w:color w:val="244061" w:themeColor="accent1" w:themeShade="80"/>
                <w:szCs w:val="24"/>
              </w:rPr>
              <w:fldChar w:fldCharType="begin"/>
            </w:r>
            <w:r w:rsidR="00BA43D7" w:rsidRPr="00911CDB">
              <w:rPr>
                <w:bCs/>
                <w:color w:val="244061" w:themeColor="accent1" w:themeShade="80"/>
              </w:rPr>
              <w:instrText>NUMPAGES</w:instrText>
            </w:r>
            <w:r w:rsidR="00BA43D7" w:rsidRPr="00911CDB">
              <w:rPr>
                <w:bCs/>
                <w:color w:val="244061" w:themeColor="accent1" w:themeShade="80"/>
                <w:szCs w:val="24"/>
              </w:rPr>
              <w:fldChar w:fldCharType="separate"/>
            </w:r>
            <w:r w:rsidR="00D33601">
              <w:rPr>
                <w:bCs/>
                <w:noProof/>
                <w:color w:val="244061" w:themeColor="accent1" w:themeShade="80"/>
              </w:rPr>
              <w:t>14</w:t>
            </w:r>
            <w:r w:rsidR="00BA43D7" w:rsidRPr="00911CDB">
              <w:rPr>
                <w:bCs/>
                <w:color w:val="244061" w:themeColor="accent1" w:themeShade="80"/>
                <w:szCs w:val="24"/>
              </w:rPr>
              <w:fldChar w:fldCharType="end"/>
            </w:r>
            <w:r>
              <w:rPr>
                <w:bCs/>
                <w:szCs w:val="24"/>
              </w:rPr>
              <w:tab/>
            </w:r>
          </w:p>
        </w:sdtContent>
      </w:sdt>
    </w:sdtContent>
  </w:sdt>
  <w:p w14:paraId="44302CB1" w14:textId="77777777" w:rsidR="00BA43D7" w:rsidRDefault="00BA43D7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E394F6" w14:textId="77777777" w:rsidR="00BF1EDE" w:rsidRDefault="00BF1EDE" w:rsidP="00312E4C">
      <w:pPr>
        <w:spacing w:after="0" w:line="240" w:lineRule="auto"/>
      </w:pPr>
      <w:r>
        <w:separator/>
      </w:r>
    </w:p>
  </w:footnote>
  <w:footnote w:type="continuationSeparator" w:id="0">
    <w:p w14:paraId="41947728" w14:textId="77777777" w:rsidR="00BF1EDE" w:rsidRDefault="00BF1EDE" w:rsidP="00312E4C">
      <w:pPr>
        <w:spacing w:after="0" w:line="240" w:lineRule="auto"/>
      </w:pPr>
      <w:r>
        <w:continuationSeparator/>
      </w:r>
    </w:p>
  </w:footnote>
  <w:footnote w:id="1">
    <w:p w14:paraId="5F7A2917" w14:textId="77777777" w:rsidR="00092FC2" w:rsidRPr="00423ABB" w:rsidRDefault="00092FC2" w:rsidP="00092FC2">
      <w:pPr>
        <w:pStyle w:val="Notedebasdepage"/>
        <w:rPr>
          <w:rFonts w:ascii="Century Gothic" w:hAnsi="Century Gothic"/>
          <w:sz w:val="18"/>
        </w:rPr>
      </w:pPr>
      <w:r w:rsidRPr="00423ABB">
        <w:rPr>
          <w:rFonts w:ascii="Century Gothic" w:hAnsi="Century Gothic"/>
          <w:sz w:val="18"/>
        </w:rPr>
        <w:footnoteRef/>
      </w:r>
      <w:r w:rsidRPr="00423ABB">
        <w:rPr>
          <w:rFonts w:ascii="Century Gothic" w:hAnsi="Century Gothic"/>
          <w:sz w:val="18"/>
        </w:rPr>
        <w:t xml:space="preserve"> </w:t>
      </w:r>
      <w:proofErr w:type="spellStart"/>
      <w:r w:rsidRPr="00423ABB">
        <w:rPr>
          <w:rFonts w:ascii="Century Gothic" w:hAnsi="Century Gothic"/>
          <w:sz w:val="18"/>
        </w:rPr>
        <w:t>Kellens</w:t>
      </w:r>
      <w:proofErr w:type="spellEnd"/>
      <w:r w:rsidRPr="00423ABB">
        <w:rPr>
          <w:rFonts w:ascii="Century Gothic" w:hAnsi="Century Gothic"/>
          <w:sz w:val="18"/>
        </w:rPr>
        <w:t xml:space="preserve"> et al., 2013</w:t>
      </w:r>
    </w:p>
  </w:footnote>
  <w:footnote w:id="2">
    <w:p w14:paraId="6C874A71" w14:textId="294376C6" w:rsidR="00092FC2" w:rsidRPr="00423ABB" w:rsidRDefault="00092FC2" w:rsidP="00092FC2">
      <w:pPr>
        <w:pStyle w:val="Notedebasdepage"/>
        <w:rPr>
          <w:rFonts w:ascii="Century Gothic" w:hAnsi="Century Gothic"/>
          <w:sz w:val="18"/>
        </w:rPr>
      </w:pPr>
      <w:r w:rsidRPr="00423ABB">
        <w:rPr>
          <w:rFonts w:ascii="Century Gothic" w:hAnsi="Century Gothic"/>
          <w:sz w:val="18"/>
        </w:rPr>
        <w:footnoteRef/>
      </w:r>
      <w:r w:rsidRPr="00423ABB">
        <w:rPr>
          <w:rFonts w:ascii="Century Gothic" w:hAnsi="Century Gothic"/>
          <w:sz w:val="18"/>
        </w:rPr>
        <w:t xml:space="preserve"> Ahern et al., 2005 ; Ahmad, 2006 ; </w:t>
      </w:r>
      <w:proofErr w:type="spellStart"/>
      <w:r w:rsidRPr="00423ABB">
        <w:rPr>
          <w:rFonts w:ascii="Century Gothic" w:hAnsi="Century Gothic"/>
          <w:sz w:val="18"/>
        </w:rPr>
        <w:t>Nicholls</w:t>
      </w:r>
      <w:proofErr w:type="spellEnd"/>
      <w:r w:rsidRPr="00423ABB">
        <w:rPr>
          <w:rFonts w:ascii="Century Gothic" w:hAnsi="Century Gothic"/>
          <w:sz w:val="18"/>
        </w:rPr>
        <w:t xml:space="preserve"> &amp; </w:t>
      </w:r>
      <w:proofErr w:type="spellStart"/>
      <w:r w:rsidRPr="00423ABB">
        <w:rPr>
          <w:rFonts w:ascii="Century Gothic" w:hAnsi="Century Gothic"/>
          <w:sz w:val="18"/>
        </w:rPr>
        <w:t>Cazenave</w:t>
      </w:r>
      <w:proofErr w:type="spellEnd"/>
      <w:r w:rsidRPr="00423ABB">
        <w:rPr>
          <w:rFonts w:ascii="Century Gothic" w:hAnsi="Century Gothic"/>
          <w:sz w:val="18"/>
        </w:rPr>
        <w:t xml:space="preserve">, 2010 ; </w:t>
      </w:r>
      <w:proofErr w:type="spellStart"/>
      <w:r w:rsidRPr="00423ABB">
        <w:rPr>
          <w:rFonts w:ascii="Century Gothic" w:hAnsi="Century Gothic"/>
          <w:sz w:val="18"/>
        </w:rPr>
        <w:t>Rahmstorf</w:t>
      </w:r>
      <w:proofErr w:type="spellEnd"/>
      <w:r w:rsidRPr="00423ABB">
        <w:rPr>
          <w:rFonts w:ascii="Century Gothic" w:hAnsi="Century Gothic"/>
          <w:sz w:val="18"/>
        </w:rPr>
        <w:t xml:space="preserve"> et al., 2012 ; </w:t>
      </w:r>
      <w:r w:rsidR="00E80ED8">
        <w:rPr>
          <w:rFonts w:ascii="Century Gothic" w:hAnsi="Century Gothic"/>
          <w:sz w:val="18"/>
        </w:rPr>
        <w:t>Brown et al., 2013 ; GIEC, 2014</w:t>
      </w:r>
      <w:r w:rsidRPr="00423ABB">
        <w:rPr>
          <w:rFonts w:ascii="Century Gothic" w:hAnsi="Century Gothic"/>
          <w:sz w:val="18"/>
        </w:rPr>
        <w:t>, p.</w:t>
      </w:r>
      <w:r w:rsidR="004C7DA6">
        <w:rPr>
          <w:rFonts w:ascii="Century Gothic" w:hAnsi="Century Gothic"/>
          <w:sz w:val="18"/>
        </w:rPr>
        <w:t xml:space="preserve">73 ; Bailly et al., 2016 ; </w:t>
      </w:r>
      <w:proofErr w:type="spellStart"/>
      <w:r w:rsidR="004C7DA6">
        <w:rPr>
          <w:rFonts w:ascii="Century Gothic" w:hAnsi="Century Gothic"/>
          <w:sz w:val="18"/>
        </w:rPr>
        <w:t>Kruel</w:t>
      </w:r>
      <w:proofErr w:type="spellEnd"/>
      <w:r w:rsidRPr="00423ABB">
        <w:rPr>
          <w:rFonts w:ascii="Century Gothic" w:hAnsi="Century Gothic"/>
          <w:sz w:val="18"/>
        </w:rPr>
        <w:t>, 2016</w:t>
      </w:r>
    </w:p>
  </w:footnote>
  <w:footnote w:id="3">
    <w:p w14:paraId="1D3FD141" w14:textId="77777777" w:rsidR="00092FC2" w:rsidRPr="00423ABB" w:rsidRDefault="00092FC2" w:rsidP="00092FC2">
      <w:pPr>
        <w:pStyle w:val="Notedebasdepage"/>
        <w:rPr>
          <w:rFonts w:ascii="Century Gothic" w:hAnsi="Century Gothic"/>
          <w:sz w:val="18"/>
        </w:rPr>
      </w:pPr>
      <w:r w:rsidRPr="00423ABB">
        <w:rPr>
          <w:rFonts w:ascii="Century Gothic" w:hAnsi="Century Gothic"/>
          <w:sz w:val="18"/>
        </w:rPr>
        <w:footnoteRef/>
      </w:r>
      <w:r w:rsidRPr="00423ABB">
        <w:rPr>
          <w:rFonts w:ascii="Century Gothic" w:hAnsi="Century Gothic"/>
          <w:sz w:val="18"/>
        </w:rPr>
        <w:t xml:space="preserve"> </w:t>
      </w:r>
      <w:proofErr w:type="spellStart"/>
      <w:r w:rsidRPr="00423ABB">
        <w:rPr>
          <w:rFonts w:ascii="Century Gothic" w:hAnsi="Century Gothic"/>
          <w:sz w:val="18"/>
        </w:rPr>
        <w:t>Paskoff</w:t>
      </w:r>
      <w:proofErr w:type="spellEnd"/>
      <w:r w:rsidRPr="00423ABB">
        <w:rPr>
          <w:rFonts w:ascii="Century Gothic" w:hAnsi="Century Gothic"/>
          <w:sz w:val="18"/>
        </w:rPr>
        <w:t xml:space="preserve">, 1993 ; Robin &amp; Verger, 1996 ; </w:t>
      </w:r>
      <w:proofErr w:type="spellStart"/>
      <w:r w:rsidRPr="00423ABB">
        <w:rPr>
          <w:rFonts w:ascii="Century Gothic" w:hAnsi="Century Gothic"/>
          <w:sz w:val="18"/>
        </w:rPr>
        <w:t>Noin</w:t>
      </w:r>
      <w:proofErr w:type="spellEnd"/>
      <w:r w:rsidRPr="00423ABB">
        <w:rPr>
          <w:rFonts w:ascii="Century Gothic" w:hAnsi="Century Gothic"/>
          <w:sz w:val="18"/>
        </w:rPr>
        <w:t>, 1999 ; IFEN, 2000 ; Herbert et al., 2006</w:t>
      </w:r>
    </w:p>
  </w:footnote>
  <w:footnote w:id="4">
    <w:p w14:paraId="0AA732FB" w14:textId="43929934" w:rsidR="00F27260" w:rsidRPr="00423ABB" w:rsidRDefault="00F27260">
      <w:pPr>
        <w:pStyle w:val="Notedebasdepage"/>
        <w:rPr>
          <w:rFonts w:ascii="Century Gothic" w:hAnsi="Century Gothic"/>
          <w:sz w:val="18"/>
        </w:rPr>
      </w:pPr>
      <w:r w:rsidRPr="00423ABB">
        <w:rPr>
          <w:rFonts w:ascii="Century Gothic" w:hAnsi="Century Gothic"/>
          <w:sz w:val="18"/>
        </w:rPr>
        <w:footnoteRef/>
      </w:r>
      <w:r w:rsidRPr="00423ABB">
        <w:rPr>
          <w:rFonts w:ascii="Century Gothic" w:hAnsi="Century Gothic"/>
          <w:sz w:val="18"/>
        </w:rPr>
        <w:t xml:space="preserve"> Pigeon, 2002, p.460-461</w:t>
      </w:r>
    </w:p>
  </w:footnote>
  <w:footnote w:id="5">
    <w:p w14:paraId="6593896D" w14:textId="3A0B6409" w:rsidR="00423ABB" w:rsidRPr="00423ABB" w:rsidRDefault="00423ABB">
      <w:pPr>
        <w:pStyle w:val="Notedebasdepage"/>
        <w:rPr>
          <w:rFonts w:ascii="Century Gothic" w:hAnsi="Century Gothic"/>
          <w:sz w:val="18"/>
        </w:rPr>
      </w:pPr>
      <w:r w:rsidRPr="00423ABB">
        <w:rPr>
          <w:rFonts w:ascii="Century Gothic" w:hAnsi="Century Gothic"/>
          <w:sz w:val="18"/>
        </w:rPr>
        <w:footnoteRef/>
      </w:r>
      <w:r w:rsidRPr="00423ABB">
        <w:rPr>
          <w:rFonts w:ascii="Century Gothic" w:hAnsi="Century Gothic"/>
          <w:sz w:val="18"/>
        </w:rPr>
        <w:t xml:space="preserve"> </w:t>
      </w:r>
      <w:proofErr w:type="spellStart"/>
      <w:r w:rsidRPr="00423ABB">
        <w:rPr>
          <w:rFonts w:ascii="Century Gothic" w:hAnsi="Century Gothic"/>
          <w:sz w:val="18"/>
        </w:rPr>
        <w:t>Meur-Férec</w:t>
      </w:r>
      <w:proofErr w:type="spellEnd"/>
      <w:r w:rsidRPr="00423ABB">
        <w:rPr>
          <w:rFonts w:ascii="Century Gothic" w:hAnsi="Century Gothic"/>
          <w:sz w:val="18"/>
        </w:rPr>
        <w:t>, 2006</w:t>
      </w:r>
    </w:p>
  </w:footnote>
  <w:footnote w:id="6">
    <w:p w14:paraId="21073512" w14:textId="324C4609" w:rsidR="00423ABB" w:rsidRDefault="00423ABB">
      <w:pPr>
        <w:pStyle w:val="Notedebasdepage"/>
      </w:pPr>
      <w:r w:rsidRPr="00423ABB">
        <w:rPr>
          <w:rFonts w:ascii="Century Gothic" w:hAnsi="Century Gothic"/>
          <w:sz w:val="18"/>
        </w:rPr>
        <w:footnoteRef/>
      </w:r>
      <w:r w:rsidRPr="00423ABB">
        <w:rPr>
          <w:rFonts w:ascii="Century Gothic" w:hAnsi="Century Gothic"/>
          <w:sz w:val="18"/>
        </w:rPr>
        <w:t xml:space="preserve"> O’Neill et al., 2016</w:t>
      </w:r>
    </w:p>
  </w:footnote>
  <w:footnote w:id="7">
    <w:p w14:paraId="08989117" w14:textId="689B1012" w:rsidR="00423ABB" w:rsidRPr="00423ABB" w:rsidRDefault="00423ABB">
      <w:pPr>
        <w:pStyle w:val="Notedebasdepage"/>
        <w:rPr>
          <w:rFonts w:ascii="Century Gothic" w:hAnsi="Century Gothic"/>
          <w:sz w:val="18"/>
          <w:szCs w:val="18"/>
        </w:rPr>
      </w:pPr>
      <w:r w:rsidRPr="00423ABB">
        <w:rPr>
          <w:rStyle w:val="Appelnotedebasdep"/>
          <w:rFonts w:ascii="Century Gothic" w:hAnsi="Century Gothic"/>
          <w:sz w:val="18"/>
          <w:szCs w:val="18"/>
        </w:rPr>
        <w:footnoteRef/>
      </w:r>
      <w:r w:rsidRPr="00423ABB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423ABB">
        <w:rPr>
          <w:rFonts w:ascii="Century Gothic" w:hAnsi="Century Gothic"/>
          <w:sz w:val="18"/>
          <w:szCs w:val="18"/>
        </w:rPr>
        <w:t>Glatron</w:t>
      </w:r>
      <w:proofErr w:type="spellEnd"/>
      <w:r w:rsidRPr="00423ABB">
        <w:rPr>
          <w:rFonts w:ascii="Century Gothic" w:hAnsi="Century Gothic"/>
          <w:sz w:val="18"/>
          <w:szCs w:val="18"/>
        </w:rPr>
        <w:t>, 2009</w:t>
      </w:r>
    </w:p>
  </w:footnote>
  <w:footnote w:id="8">
    <w:p w14:paraId="48BF7B54" w14:textId="26F8592D" w:rsidR="00423ABB" w:rsidRPr="00423ABB" w:rsidRDefault="00423ABB">
      <w:pPr>
        <w:pStyle w:val="Notedebasdepage"/>
        <w:rPr>
          <w:rFonts w:ascii="Century Gothic" w:hAnsi="Century Gothic"/>
          <w:sz w:val="18"/>
          <w:szCs w:val="18"/>
        </w:rPr>
      </w:pPr>
      <w:r w:rsidRPr="00423ABB">
        <w:rPr>
          <w:rStyle w:val="Appelnotedebasdep"/>
          <w:rFonts w:ascii="Century Gothic" w:hAnsi="Century Gothic"/>
          <w:sz w:val="18"/>
          <w:szCs w:val="18"/>
        </w:rPr>
        <w:footnoteRef/>
      </w:r>
      <w:r w:rsidRPr="00423ABB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423ABB">
        <w:rPr>
          <w:rFonts w:ascii="Century Gothic" w:hAnsi="Century Gothic"/>
          <w:sz w:val="18"/>
          <w:szCs w:val="18"/>
        </w:rPr>
        <w:t>Kellens</w:t>
      </w:r>
      <w:proofErr w:type="spellEnd"/>
      <w:r w:rsidRPr="00423ABB">
        <w:rPr>
          <w:rFonts w:ascii="Century Gothic" w:hAnsi="Century Gothic"/>
          <w:sz w:val="18"/>
          <w:szCs w:val="18"/>
        </w:rPr>
        <w:t xml:space="preserve"> et al., 2013</w:t>
      </w:r>
    </w:p>
  </w:footnote>
  <w:footnote w:id="9">
    <w:p w14:paraId="56A36D99" w14:textId="77777777" w:rsidR="00564A08" w:rsidRPr="00423ABB" w:rsidRDefault="00564A08" w:rsidP="00564A08">
      <w:pPr>
        <w:pStyle w:val="Notedebasdepage"/>
        <w:rPr>
          <w:rFonts w:ascii="Century Gothic" w:hAnsi="Century Gothic"/>
          <w:sz w:val="18"/>
          <w:szCs w:val="18"/>
        </w:rPr>
      </w:pPr>
      <w:r w:rsidRPr="00423ABB">
        <w:rPr>
          <w:rStyle w:val="Appelnotedebasdep"/>
          <w:rFonts w:ascii="Century Gothic" w:hAnsi="Century Gothic"/>
          <w:sz w:val="18"/>
          <w:szCs w:val="18"/>
        </w:rPr>
        <w:footnoteRef/>
      </w:r>
      <w:r w:rsidRPr="00423ABB">
        <w:rPr>
          <w:rFonts w:ascii="Century Gothic" w:hAnsi="Century Gothic"/>
          <w:sz w:val="18"/>
          <w:szCs w:val="18"/>
        </w:rPr>
        <w:t xml:space="preserve"> Pin et al., 2007 ; </w:t>
      </w:r>
      <w:proofErr w:type="spellStart"/>
      <w:r w:rsidRPr="00423ABB">
        <w:rPr>
          <w:rFonts w:ascii="Century Gothic" w:hAnsi="Century Gothic"/>
          <w:sz w:val="18"/>
          <w:szCs w:val="18"/>
        </w:rPr>
        <w:t>Goeldner-Gianella</w:t>
      </w:r>
      <w:proofErr w:type="spellEnd"/>
      <w:r w:rsidRPr="00423ABB">
        <w:rPr>
          <w:rFonts w:ascii="Century Gothic" w:hAnsi="Century Gothic"/>
          <w:sz w:val="18"/>
          <w:szCs w:val="18"/>
        </w:rPr>
        <w:t xml:space="preserve"> &amp; Verger, 2009</w:t>
      </w:r>
    </w:p>
  </w:footnote>
  <w:footnote w:id="10">
    <w:p w14:paraId="56B063F1" w14:textId="77777777" w:rsidR="00564A08" w:rsidRPr="00423ABB" w:rsidRDefault="00564A08" w:rsidP="00564A08">
      <w:pPr>
        <w:pStyle w:val="Notedebasdepage"/>
        <w:rPr>
          <w:rFonts w:ascii="Century Gothic" w:hAnsi="Century Gothic"/>
          <w:sz w:val="18"/>
          <w:szCs w:val="18"/>
        </w:rPr>
      </w:pPr>
      <w:r w:rsidRPr="00423ABB">
        <w:rPr>
          <w:rStyle w:val="Appelnotedebasdep"/>
          <w:rFonts w:ascii="Century Gothic" w:hAnsi="Century Gothic"/>
          <w:sz w:val="18"/>
          <w:szCs w:val="18"/>
        </w:rPr>
        <w:footnoteRef/>
      </w:r>
      <w:r w:rsidRPr="00423ABB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423ABB">
        <w:rPr>
          <w:rFonts w:ascii="Century Gothic" w:hAnsi="Century Gothic"/>
          <w:sz w:val="18"/>
          <w:szCs w:val="18"/>
        </w:rPr>
        <w:t>Maspataud</w:t>
      </w:r>
      <w:proofErr w:type="spellEnd"/>
      <w:r w:rsidRPr="00423ABB">
        <w:rPr>
          <w:rFonts w:ascii="Century Gothic" w:hAnsi="Century Gothic"/>
          <w:sz w:val="18"/>
          <w:szCs w:val="18"/>
        </w:rPr>
        <w:t xml:space="preserve"> 2011, </w:t>
      </w:r>
      <w:proofErr w:type="spellStart"/>
      <w:r w:rsidRPr="00423ABB">
        <w:rPr>
          <w:rFonts w:ascii="Century Gothic" w:hAnsi="Century Gothic"/>
          <w:sz w:val="18"/>
          <w:szCs w:val="18"/>
        </w:rPr>
        <w:t>Maspataud</w:t>
      </w:r>
      <w:proofErr w:type="spellEnd"/>
      <w:r w:rsidRPr="00423ABB">
        <w:rPr>
          <w:rFonts w:ascii="Century Gothic" w:hAnsi="Century Gothic"/>
          <w:sz w:val="18"/>
          <w:szCs w:val="18"/>
        </w:rPr>
        <w:t xml:space="preserve"> et al., 2010, 2012, 2013</w:t>
      </w:r>
    </w:p>
  </w:footnote>
  <w:footnote w:id="11">
    <w:p w14:paraId="47F6FAD4" w14:textId="77777777" w:rsidR="00564A08" w:rsidRPr="00423ABB" w:rsidRDefault="00564A08" w:rsidP="00564A08">
      <w:pPr>
        <w:pStyle w:val="Notedebasdepage"/>
        <w:rPr>
          <w:rFonts w:ascii="Century Gothic" w:hAnsi="Century Gothic"/>
          <w:sz w:val="18"/>
          <w:szCs w:val="18"/>
        </w:rPr>
      </w:pPr>
      <w:r w:rsidRPr="00423ABB">
        <w:rPr>
          <w:rStyle w:val="Appelnotedebasdep"/>
          <w:rFonts w:ascii="Century Gothic" w:hAnsi="Century Gothic"/>
          <w:sz w:val="18"/>
          <w:szCs w:val="18"/>
        </w:rPr>
        <w:footnoteRef/>
      </w:r>
      <w:r w:rsidRPr="00423ABB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423ABB">
        <w:rPr>
          <w:rFonts w:ascii="Century Gothic" w:hAnsi="Century Gothic"/>
          <w:sz w:val="18"/>
          <w:szCs w:val="18"/>
        </w:rPr>
        <w:t>McRobie</w:t>
      </w:r>
      <w:proofErr w:type="spellEnd"/>
      <w:r w:rsidRPr="00423ABB">
        <w:rPr>
          <w:rFonts w:ascii="Century Gothic" w:hAnsi="Century Gothic"/>
          <w:sz w:val="18"/>
          <w:szCs w:val="18"/>
        </w:rPr>
        <w:t xml:space="preserve"> et al., 2005</w:t>
      </w:r>
    </w:p>
  </w:footnote>
  <w:footnote w:id="12">
    <w:p w14:paraId="26987641" w14:textId="77777777" w:rsidR="00564A08" w:rsidRDefault="00564A08" w:rsidP="00564A08">
      <w:pPr>
        <w:pStyle w:val="Notedebasdepage"/>
      </w:pPr>
      <w:r w:rsidRPr="00423ABB">
        <w:rPr>
          <w:rStyle w:val="Appelnotedebasdep"/>
          <w:rFonts w:ascii="Century Gothic" w:hAnsi="Century Gothic"/>
          <w:sz w:val="18"/>
          <w:szCs w:val="18"/>
        </w:rPr>
        <w:footnoteRef/>
      </w:r>
      <w:r w:rsidRPr="00423ABB">
        <w:rPr>
          <w:rFonts w:ascii="Century Gothic" w:hAnsi="Century Gothic"/>
          <w:sz w:val="18"/>
          <w:szCs w:val="18"/>
        </w:rPr>
        <w:t xml:space="preserve"> De </w:t>
      </w:r>
      <w:proofErr w:type="spellStart"/>
      <w:r w:rsidRPr="00423ABB">
        <w:rPr>
          <w:rFonts w:ascii="Century Gothic" w:hAnsi="Century Gothic"/>
          <w:sz w:val="18"/>
          <w:szCs w:val="18"/>
        </w:rPr>
        <w:t>Singly</w:t>
      </w:r>
      <w:proofErr w:type="spellEnd"/>
      <w:r w:rsidRPr="00423ABB">
        <w:rPr>
          <w:rFonts w:ascii="Century Gothic" w:hAnsi="Century Gothic"/>
          <w:sz w:val="18"/>
          <w:szCs w:val="18"/>
        </w:rPr>
        <w:t xml:space="preserve">, 2005 ; </w:t>
      </w:r>
      <w:proofErr w:type="spellStart"/>
      <w:r w:rsidRPr="00423ABB">
        <w:rPr>
          <w:rFonts w:ascii="Century Gothic" w:hAnsi="Century Gothic"/>
          <w:sz w:val="18"/>
          <w:szCs w:val="18"/>
        </w:rPr>
        <w:t>Combessie</w:t>
      </w:r>
      <w:proofErr w:type="spellEnd"/>
      <w:r w:rsidRPr="00423ABB">
        <w:rPr>
          <w:rFonts w:ascii="Century Gothic" w:hAnsi="Century Gothic"/>
          <w:sz w:val="18"/>
          <w:szCs w:val="18"/>
        </w:rPr>
        <w:t>, 2007</w:t>
      </w:r>
    </w:p>
  </w:footnote>
  <w:footnote w:id="13">
    <w:p w14:paraId="26A1FB91" w14:textId="293A7DC5" w:rsidR="00423ABB" w:rsidRPr="00423ABB" w:rsidRDefault="00423ABB">
      <w:pPr>
        <w:pStyle w:val="Notedebasdepage"/>
        <w:rPr>
          <w:rFonts w:ascii="Century Gothic" w:hAnsi="Century Gothic"/>
          <w:sz w:val="18"/>
        </w:rPr>
      </w:pPr>
      <w:r w:rsidRPr="00423ABB">
        <w:rPr>
          <w:rStyle w:val="Appelnotedebasdep"/>
          <w:rFonts w:ascii="Century Gothic" w:hAnsi="Century Gothic"/>
          <w:sz w:val="18"/>
        </w:rPr>
        <w:footnoteRef/>
      </w:r>
      <w:r w:rsidRPr="00423ABB">
        <w:rPr>
          <w:rFonts w:ascii="Century Gothic" w:hAnsi="Century Gothic"/>
          <w:sz w:val="18"/>
        </w:rPr>
        <w:t xml:space="preserve"> Smith &amp; </w:t>
      </w:r>
      <w:proofErr w:type="spellStart"/>
      <w:r w:rsidRPr="00423ABB">
        <w:rPr>
          <w:rFonts w:ascii="Century Gothic" w:hAnsi="Century Gothic"/>
          <w:sz w:val="18"/>
        </w:rPr>
        <w:t>Petley</w:t>
      </w:r>
      <w:proofErr w:type="spellEnd"/>
      <w:r w:rsidRPr="00423ABB">
        <w:rPr>
          <w:rFonts w:ascii="Century Gothic" w:hAnsi="Century Gothic"/>
          <w:sz w:val="18"/>
        </w:rPr>
        <w:t>, 2008</w:t>
      </w:r>
    </w:p>
  </w:footnote>
  <w:footnote w:id="14">
    <w:p w14:paraId="64E19A82" w14:textId="507C4593" w:rsidR="00423ABB" w:rsidRDefault="00423ABB">
      <w:pPr>
        <w:pStyle w:val="Notedebasdepage"/>
      </w:pPr>
      <w:r w:rsidRPr="00423ABB">
        <w:rPr>
          <w:rStyle w:val="Appelnotedebasdep"/>
          <w:rFonts w:ascii="Century Gothic" w:hAnsi="Century Gothic"/>
          <w:sz w:val="18"/>
        </w:rPr>
        <w:footnoteRef/>
      </w:r>
      <w:r w:rsidRPr="00423ABB">
        <w:rPr>
          <w:rFonts w:ascii="Century Gothic" w:hAnsi="Century Gothic"/>
          <w:sz w:val="18"/>
        </w:rPr>
        <w:t xml:space="preserve"> Le Blanc, 2006</w:t>
      </w:r>
    </w:p>
  </w:footnote>
  <w:footnote w:id="15">
    <w:p w14:paraId="00A324D8" w14:textId="70B8F180" w:rsidR="00423ABB" w:rsidRPr="00423ABB" w:rsidRDefault="00423ABB">
      <w:pPr>
        <w:pStyle w:val="Notedebasdepage"/>
        <w:rPr>
          <w:rFonts w:ascii="Century Gothic" w:hAnsi="Century Gothic"/>
          <w:sz w:val="18"/>
        </w:rPr>
      </w:pPr>
      <w:r w:rsidRPr="00423ABB">
        <w:rPr>
          <w:rStyle w:val="Appelnotedebasdep"/>
          <w:rFonts w:ascii="Century Gothic" w:hAnsi="Century Gothic"/>
          <w:sz w:val="18"/>
        </w:rPr>
        <w:footnoteRef/>
      </w:r>
      <w:r w:rsidRPr="00423ABB">
        <w:rPr>
          <w:rFonts w:ascii="Century Gothic" w:hAnsi="Century Gothic"/>
          <w:sz w:val="18"/>
        </w:rPr>
        <w:t xml:space="preserve"> </w:t>
      </w:r>
      <w:r w:rsidRPr="00423ABB">
        <w:rPr>
          <w:rFonts w:ascii="Century Gothic" w:hAnsi="Century Gothic"/>
          <w:color w:val="000000" w:themeColor="text1"/>
          <w:sz w:val="18"/>
        </w:rPr>
        <w:t>Vinet, 2010</w:t>
      </w:r>
      <w:r w:rsidRPr="00423ABB">
        <w:rPr>
          <w:rFonts w:ascii="Century Gothic" w:hAnsi="Century Gothic" w:cs="Calibri"/>
          <w:color w:val="000000" w:themeColor="text1"/>
          <w:sz w:val="18"/>
        </w:rPr>
        <w:t> </w:t>
      </w:r>
      <w:r w:rsidRPr="00423ABB">
        <w:rPr>
          <w:rFonts w:ascii="Century Gothic" w:hAnsi="Century Gothic"/>
          <w:color w:val="000000" w:themeColor="text1"/>
          <w:sz w:val="18"/>
        </w:rPr>
        <w:t>; Beck, 2001</w:t>
      </w:r>
      <w:r w:rsidRPr="00423ABB">
        <w:rPr>
          <w:rFonts w:ascii="Century Gothic" w:hAnsi="Century Gothic" w:cs="Calibri"/>
          <w:color w:val="000000" w:themeColor="text1"/>
          <w:sz w:val="18"/>
        </w:rPr>
        <w:t> </w:t>
      </w:r>
      <w:r w:rsidRPr="00423ABB">
        <w:rPr>
          <w:rFonts w:ascii="Century Gothic" w:hAnsi="Century Gothic"/>
          <w:color w:val="000000" w:themeColor="text1"/>
          <w:sz w:val="18"/>
        </w:rPr>
        <w:t xml:space="preserve">; </w:t>
      </w:r>
      <w:proofErr w:type="spellStart"/>
      <w:r w:rsidRPr="00423ABB">
        <w:rPr>
          <w:rFonts w:ascii="Century Gothic" w:hAnsi="Century Gothic"/>
          <w:color w:val="000000" w:themeColor="text1"/>
          <w:sz w:val="18"/>
        </w:rPr>
        <w:t>Fischhoff</w:t>
      </w:r>
      <w:proofErr w:type="spellEnd"/>
      <w:r w:rsidRPr="00423ABB">
        <w:rPr>
          <w:rFonts w:ascii="Century Gothic" w:hAnsi="Century Gothic"/>
          <w:color w:val="000000" w:themeColor="text1"/>
          <w:sz w:val="18"/>
        </w:rPr>
        <w:t xml:space="preserve"> et al., 1978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E0EE08" w14:textId="77777777" w:rsidR="00312E4C" w:rsidRPr="00911CDB" w:rsidRDefault="001E66D7" w:rsidP="00911CDB">
    <w:pPr>
      <w:pStyle w:val="En-tte"/>
      <w:spacing w:line="300" w:lineRule="auto"/>
      <w:jc w:val="right"/>
      <w:rPr>
        <w:b/>
        <w:color w:val="244061" w:themeColor="accent1" w:themeShade="80"/>
        <w:szCs w:val="24"/>
      </w:rPr>
    </w:pPr>
    <w:proofErr w:type="spellStart"/>
    <w:r w:rsidRPr="00911CDB">
      <w:rPr>
        <w:b/>
        <w:color w:val="244061" w:themeColor="accent1" w:themeShade="80"/>
        <w:szCs w:val="24"/>
      </w:rPr>
      <w:t>Doctoriales</w:t>
    </w:r>
    <w:proofErr w:type="spellEnd"/>
    <w:r w:rsidRPr="00911CDB">
      <w:rPr>
        <w:b/>
        <w:color w:val="244061" w:themeColor="accent1" w:themeShade="80"/>
        <w:szCs w:val="24"/>
      </w:rPr>
      <w:t xml:space="preserve"> en Sciences Sociales de l’eau</w:t>
    </w:r>
  </w:p>
  <w:p w14:paraId="02189961" w14:textId="77777777" w:rsidR="001E66D7" w:rsidRPr="00911CDB" w:rsidRDefault="00911CDB" w:rsidP="00911CDB">
    <w:pPr>
      <w:pStyle w:val="En-tte"/>
      <w:tabs>
        <w:tab w:val="left" w:pos="1935"/>
      </w:tabs>
      <w:spacing w:line="300" w:lineRule="auto"/>
      <w:rPr>
        <w:color w:val="244061" w:themeColor="accent1" w:themeShade="80"/>
        <w:szCs w:val="24"/>
      </w:rPr>
    </w:pPr>
    <w:r>
      <w:rPr>
        <w:color w:val="244061" w:themeColor="accent1" w:themeShade="80"/>
        <w:szCs w:val="24"/>
      </w:rPr>
      <w:tab/>
    </w:r>
    <w:r>
      <w:rPr>
        <w:color w:val="244061" w:themeColor="accent1" w:themeShade="80"/>
        <w:szCs w:val="24"/>
      </w:rPr>
      <w:tab/>
    </w:r>
    <w:r>
      <w:rPr>
        <w:color w:val="244061" w:themeColor="accent1" w:themeShade="80"/>
        <w:szCs w:val="24"/>
      </w:rPr>
      <w:tab/>
    </w:r>
    <w:r w:rsidRPr="00911CDB">
      <w:rPr>
        <w:color w:val="244061" w:themeColor="accent1" w:themeShade="80"/>
        <w:szCs w:val="24"/>
      </w:rPr>
      <w:t xml:space="preserve">ENS de </w:t>
    </w:r>
    <w:r w:rsidR="001E66D7" w:rsidRPr="00911CDB">
      <w:rPr>
        <w:color w:val="244061" w:themeColor="accent1" w:themeShade="80"/>
        <w:szCs w:val="24"/>
      </w:rPr>
      <w:t xml:space="preserve">Lyon – </w:t>
    </w:r>
    <w:r w:rsidRPr="00911CDB">
      <w:rPr>
        <w:color w:val="244061" w:themeColor="accent1" w:themeShade="80"/>
        <w:szCs w:val="24"/>
      </w:rPr>
      <w:t xml:space="preserve">5-6 septembre </w:t>
    </w:r>
    <w:r w:rsidR="001E66D7" w:rsidRPr="00911CDB">
      <w:rPr>
        <w:color w:val="244061" w:themeColor="accent1" w:themeShade="80"/>
        <w:szCs w:val="24"/>
      </w:rPr>
      <w:t>2019</w:t>
    </w:r>
  </w:p>
  <w:p w14:paraId="04C0C402" w14:textId="77777777" w:rsidR="001E66D7" w:rsidRPr="001E66D7" w:rsidRDefault="00911CDB" w:rsidP="00911CDB">
    <w:pPr>
      <w:pStyle w:val="En-tte"/>
      <w:jc w:val="center"/>
      <w:rPr>
        <w:i/>
        <w:szCs w:val="24"/>
      </w:rPr>
    </w:pPr>
    <w:r>
      <w:rPr>
        <w:i/>
        <w:noProof/>
        <w:szCs w:val="24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7E3802" wp14:editId="5B378CBA">
              <wp:simplePos x="0" y="0"/>
              <wp:positionH relativeFrom="column">
                <wp:posOffset>-909320</wp:posOffset>
              </wp:positionH>
              <wp:positionV relativeFrom="paragraph">
                <wp:posOffset>141605</wp:posOffset>
              </wp:positionV>
              <wp:extent cx="5257800" cy="0"/>
              <wp:effectExtent l="0" t="19050" r="0" b="1905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2578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014E6D" id="Connecteur droit 1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1.6pt,11.15pt" to="342.4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" strokecolor="#243f60 [1604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756730"/>
    <w:multiLevelType w:val="multilevel"/>
    <w:tmpl w:val="B616D6E0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4FC74BC1"/>
    <w:multiLevelType w:val="hybridMultilevel"/>
    <w:tmpl w:val="DCF087A4"/>
    <w:lvl w:ilvl="0" w:tplc="260E4182">
      <w:start w:val="1"/>
      <w:numFmt w:val="bullet"/>
      <w:pStyle w:val="Normaltir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E4C"/>
    <w:rsid w:val="0001644B"/>
    <w:rsid w:val="000610DA"/>
    <w:rsid w:val="00081EC7"/>
    <w:rsid w:val="0008369B"/>
    <w:rsid w:val="00092FC2"/>
    <w:rsid w:val="000968B3"/>
    <w:rsid w:val="000A34E0"/>
    <w:rsid w:val="000D42AE"/>
    <w:rsid w:val="00155397"/>
    <w:rsid w:val="00183DB5"/>
    <w:rsid w:val="001928BD"/>
    <w:rsid w:val="001E66D7"/>
    <w:rsid w:val="00241924"/>
    <w:rsid w:val="00245EE1"/>
    <w:rsid w:val="00280076"/>
    <w:rsid w:val="00291FC6"/>
    <w:rsid w:val="002B1F4A"/>
    <w:rsid w:val="002E3637"/>
    <w:rsid w:val="00312E4C"/>
    <w:rsid w:val="00315FA2"/>
    <w:rsid w:val="00330BBB"/>
    <w:rsid w:val="00350DF9"/>
    <w:rsid w:val="003651AE"/>
    <w:rsid w:val="004039BE"/>
    <w:rsid w:val="00423ABB"/>
    <w:rsid w:val="004C7DA6"/>
    <w:rsid w:val="005415FB"/>
    <w:rsid w:val="00564A08"/>
    <w:rsid w:val="00592BE7"/>
    <w:rsid w:val="005951D1"/>
    <w:rsid w:val="005B2FE3"/>
    <w:rsid w:val="005B721A"/>
    <w:rsid w:val="005C17E3"/>
    <w:rsid w:val="005C7B27"/>
    <w:rsid w:val="00623AA3"/>
    <w:rsid w:val="006C5E8E"/>
    <w:rsid w:val="00725E13"/>
    <w:rsid w:val="0073458C"/>
    <w:rsid w:val="007603C7"/>
    <w:rsid w:val="00780C6A"/>
    <w:rsid w:val="007904AA"/>
    <w:rsid w:val="007A1A30"/>
    <w:rsid w:val="007A675C"/>
    <w:rsid w:val="007B70DE"/>
    <w:rsid w:val="007F7A9F"/>
    <w:rsid w:val="00825397"/>
    <w:rsid w:val="00860FAB"/>
    <w:rsid w:val="00872D90"/>
    <w:rsid w:val="008C3DCE"/>
    <w:rsid w:val="008E4B8C"/>
    <w:rsid w:val="008E639C"/>
    <w:rsid w:val="00911CDB"/>
    <w:rsid w:val="00915C4A"/>
    <w:rsid w:val="009814A7"/>
    <w:rsid w:val="00986E45"/>
    <w:rsid w:val="00993E29"/>
    <w:rsid w:val="00A0711E"/>
    <w:rsid w:val="00A73A33"/>
    <w:rsid w:val="00A81371"/>
    <w:rsid w:val="00A825FE"/>
    <w:rsid w:val="00AB41F0"/>
    <w:rsid w:val="00AC740C"/>
    <w:rsid w:val="00AE44A3"/>
    <w:rsid w:val="00B03CD8"/>
    <w:rsid w:val="00B50E51"/>
    <w:rsid w:val="00B521FD"/>
    <w:rsid w:val="00B7173F"/>
    <w:rsid w:val="00B727D9"/>
    <w:rsid w:val="00B9773B"/>
    <w:rsid w:val="00BA43D7"/>
    <w:rsid w:val="00BB179E"/>
    <w:rsid w:val="00BE1174"/>
    <w:rsid w:val="00BF1EDE"/>
    <w:rsid w:val="00C23809"/>
    <w:rsid w:val="00C428B8"/>
    <w:rsid w:val="00CB629B"/>
    <w:rsid w:val="00CC60DB"/>
    <w:rsid w:val="00D33601"/>
    <w:rsid w:val="00D43DEC"/>
    <w:rsid w:val="00DC246F"/>
    <w:rsid w:val="00E5182A"/>
    <w:rsid w:val="00E60BBD"/>
    <w:rsid w:val="00E80ED8"/>
    <w:rsid w:val="00E8166D"/>
    <w:rsid w:val="00E96C3B"/>
    <w:rsid w:val="00EC0CD7"/>
    <w:rsid w:val="00EE40D0"/>
    <w:rsid w:val="00F00507"/>
    <w:rsid w:val="00F27260"/>
    <w:rsid w:val="00F445A9"/>
    <w:rsid w:val="00F73FBD"/>
    <w:rsid w:val="00FA0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3F3BA90"/>
  <w15:docId w15:val="{8B7A99C9-E26F-4E61-87A2-CB5351274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1CDB"/>
    <w:rPr>
      <w:rFonts w:ascii="Century Gothic" w:hAnsi="Century Gothic"/>
    </w:rPr>
  </w:style>
  <w:style w:type="paragraph" w:styleId="Titre1">
    <w:name w:val="heading 1"/>
    <w:basedOn w:val="Normal"/>
    <w:next w:val="Normal"/>
    <w:link w:val="Titre1Car"/>
    <w:qFormat/>
    <w:rsid w:val="00911CDB"/>
    <w:pPr>
      <w:keepNext/>
      <w:widowControl w:val="0"/>
      <w:numPr>
        <w:numId w:val="1"/>
      </w:numPr>
      <w:spacing w:before="200" w:after="0" w:line="240" w:lineRule="auto"/>
      <w:jc w:val="both"/>
      <w:outlineLvl w:val="0"/>
    </w:pPr>
    <w:rPr>
      <w:rFonts w:eastAsia="Times New Roman" w:cs="Arial"/>
      <w:b/>
      <w:bCs/>
      <w:caps/>
      <w:color w:val="244061" w:themeColor="accent1" w:themeShade="80"/>
      <w:sz w:val="28"/>
      <w:szCs w:val="24"/>
      <w:lang w:eastAsia="fr-FR"/>
    </w:rPr>
  </w:style>
  <w:style w:type="paragraph" w:styleId="Titre2">
    <w:name w:val="heading 2"/>
    <w:basedOn w:val="Normal"/>
    <w:next w:val="Normal"/>
    <w:link w:val="Titre2Car"/>
    <w:unhideWhenUsed/>
    <w:qFormat/>
    <w:rsid w:val="00F27260"/>
    <w:pPr>
      <w:keepNext/>
      <w:widowControl w:val="0"/>
      <w:numPr>
        <w:ilvl w:val="1"/>
        <w:numId w:val="3"/>
      </w:numPr>
      <w:spacing w:before="120" w:after="0" w:line="240" w:lineRule="auto"/>
      <w:jc w:val="both"/>
      <w:outlineLvl w:val="1"/>
    </w:pPr>
    <w:rPr>
      <w:rFonts w:eastAsia="Times New Roman" w:cs="Arial"/>
      <w:b/>
      <w:bCs/>
      <w:color w:val="244061" w:themeColor="accent1" w:themeShade="80"/>
      <w:sz w:val="26"/>
      <w:szCs w:val="28"/>
      <w:lang w:eastAsia="fr-FR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F73FBD"/>
    <w:pPr>
      <w:keepNext/>
      <w:widowControl w:val="0"/>
      <w:numPr>
        <w:ilvl w:val="2"/>
        <w:numId w:val="1"/>
      </w:numPr>
      <w:spacing w:before="120" w:after="0" w:line="240" w:lineRule="auto"/>
      <w:jc w:val="both"/>
      <w:outlineLvl w:val="2"/>
    </w:pPr>
    <w:rPr>
      <w:rFonts w:ascii="Arial" w:eastAsia="Times New Roman" w:hAnsi="Arial" w:cs="Arial"/>
      <w:b/>
      <w:bCs/>
      <w:i/>
      <w:sz w:val="20"/>
      <w:szCs w:val="26"/>
      <w:lang w:eastAsia="fr-FR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F73FBD"/>
    <w:pPr>
      <w:keepNext/>
      <w:widowControl w:val="0"/>
      <w:numPr>
        <w:ilvl w:val="3"/>
        <w:numId w:val="1"/>
      </w:numPr>
      <w:spacing w:before="240" w:after="60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fr-FR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F73FBD"/>
    <w:pPr>
      <w:widowControl w:val="0"/>
      <w:numPr>
        <w:ilvl w:val="4"/>
        <w:numId w:val="1"/>
      </w:numPr>
      <w:spacing w:before="240" w:after="60" w:line="240" w:lineRule="auto"/>
      <w:jc w:val="both"/>
      <w:outlineLvl w:val="4"/>
    </w:pPr>
    <w:rPr>
      <w:rFonts w:ascii="Arial" w:eastAsia="Times New Roman" w:hAnsi="Arial" w:cs="Times New Roman"/>
      <w:b/>
      <w:bCs/>
      <w:i/>
      <w:iCs/>
      <w:sz w:val="26"/>
      <w:szCs w:val="26"/>
      <w:lang w:eastAsia="fr-FR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F73FBD"/>
    <w:pPr>
      <w:widowControl w:val="0"/>
      <w:numPr>
        <w:ilvl w:val="5"/>
        <w:numId w:val="1"/>
      </w:numPr>
      <w:spacing w:before="240" w:after="60" w:line="240" w:lineRule="auto"/>
      <w:jc w:val="both"/>
      <w:outlineLvl w:val="5"/>
    </w:pPr>
    <w:rPr>
      <w:rFonts w:ascii="Times New Roman" w:eastAsia="Times New Roman" w:hAnsi="Times New Roman" w:cs="Times New Roman"/>
      <w:b/>
      <w:bCs/>
      <w:lang w:eastAsia="fr-FR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F73FBD"/>
    <w:pPr>
      <w:widowControl w:val="0"/>
      <w:numPr>
        <w:ilvl w:val="6"/>
        <w:numId w:val="1"/>
      </w:numPr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szCs w:val="24"/>
      <w:lang w:eastAsia="fr-FR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F73FBD"/>
    <w:pPr>
      <w:widowControl w:val="0"/>
      <w:numPr>
        <w:ilvl w:val="7"/>
        <w:numId w:val="1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Cs w:val="24"/>
      <w:lang w:eastAsia="fr-FR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F73FBD"/>
    <w:pPr>
      <w:widowControl w:val="0"/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eastAsia="Times New Roman" w:hAnsi="Arial" w:cs="Arial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12E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12E4C"/>
  </w:style>
  <w:style w:type="paragraph" w:styleId="Pieddepage">
    <w:name w:val="footer"/>
    <w:basedOn w:val="Normal"/>
    <w:link w:val="PieddepageCar"/>
    <w:uiPriority w:val="99"/>
    <w:unhideWhenUsed/>
    <w:rsid w:val="00312E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12E4C"/>
  </w:style>
  <w:style w:type="paragraph" w:styleId="Textedebulles">
    <w:name w:val="Balloon Text"/>
    <w:basedOn w:val="Normal"/>
    <w:link w:val="TextedebullesCar"/>
    <w:uiPriority w:val="99"/>
    <w:semiHidden/>
    <w:unhideWhenUsed/>
    <w:rsid w:val="00F73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3FBD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911CDB"/>
    <w:rPr>
      <w:rFonts w:ascii="Century Gothic" w:eastAsia="Times New Roman" w:hAnsi="Century Gothic" w:cs="Arial"/>
      <w:b/>
      <w:bCs/>
      <w:caps/>
      <w:color w:val="244061" w:themeColor="accent1" w:themeShade="80"/>
      <w:sz w:val="28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F27260"/>
    <w:rPr>
      <w:rFonts w:ascii="Century Gothic" w:eastAsia="Times New Roman" w:hAnsi="Century Gothic" w:cs="Arial"/>
      <w:b/>
      <w:bCs/>
      <w:color w:val="244061" w:themeColor="accent1" w:themeShade="80"/>
      <w:sz w:val="26"/>
      <w:szCs w:val="28"/>
      <w:lang w:eastAsia="fr-FR"/>
    </w:rPr>
  </w:style>
  <w:style w:type="character" w:customStyle="1" w:styleId="Titre3Car">
    <w:name w:val="Titre 3 Car"/>
    <w:basedOn w:val="Policepardfaut"/>
    <w:link w:val="Titre3"/>
    <w:semiHidden/>
    <w:rsid w:val="00F73FBD"/>
    <w:rPr>
      <w:rFonts w:ascii="Arial" w:eastAsia="Times New Roman" w:hAnsi="Arial" w:cs="Arial"/>
      <w:b/>
      <w:bCs/>
      <w:i/>
      <w:sz w:val="20"/>
      <w:szCs w:val="26"/>
      <w:lang w:eastAsia="fr-FR"/>
    </w:rPr>
  </w:style>
  <w:style w:type="character" w:customStyle="1" w:styleId="Titre4Car">
    <w:name w:val="Titre 4 Car"/>
    <w:basedOn w:val="Policepardfaut"/>
    <w:link w:val="Titre4"/>
    <w:semiHidden/>
    <w:rsid w:val="00F73FBD"/>
    <w:rPr>
      <w:rFonts w:ascii="Times New Roman" w:eastAsia="Times New Roman" w:hAnsi="Times New Roman" w:cs="Times New Roman"/>
      <w:b/>
      <w:bCs/>
      <w:sz w:val="28"/>
      <w:szCs w:val="28"/>
      <w:lang w:eastAsia="fr-FR"/>
    </w:rPr>
  </w:style>
  <w:style w:type="character" w:customStyle="1" w:styleId="Titre5Car">
    <w:name w:val="Titre 5 Car"/>
    <w:basedOn w:val="Policepardfaut"/>
    <w:link w:val="Titre5"/>
    <w:semiHidden/>
    <w:rsid w:val="00F73FBD"/>
    <w:rPr>
      <w:rFonts w:ascii="Arial" w:eastAsia="Times New Roman" w:hAnsi="Arial" w:cs="Times New Roman"/>
      <w:b/>
      <w:bCs/>
      <w:i/>
      <w:iCs/>
      <w:sz w:val="26"/>
      <w:szCs w:val="26"/>
      <w:lang w:eastAsia="fr-FR"/>
    </w:rPr>
  </w:style>
  <w:style w:type="character" w:customStyle="1" w:styleId="Titre6Car">
    <w:name w:val="Titre 6 Car"/>
    <w:basedOn w:val="Policepardfaut"/>
    <w:link w:val="Titre6"/>
    <w:semiHidden/>
    <w:rsid w:val="00F73FBD"/>
    <w:rPr>
      <w:rFonts w:ascii="Times New Roman" w:eastAsia="Times New Roman" w:hAnsi="Times New Roman" w:cs="Times New Roman"/>
      <w:b/>
      <w:bCs/>
      <w:lang w:eastAsia="fr-FR"/>
    </w:rPr>
  </w:style>
  <w:style w:type="character" w:customStyle="1" w:styleId="Titre7Car">
    <w:name w:val="Titre 7 Car"/>
    <w:basedOn w:val="Policepardfaut"/>
    <w:link w:val="Titre7"/>
    <w:semiHidden/>
    <w:rsid w:val="00F73FBD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semiHidden/>
    <w:rsid w:val="00F73FB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9Car">
    <w:name w:val="Titre 9 Car"/>
    <w:basedOn w:val="Policepardfaut"/>
    <w:link w:val="Titre9"/>
    <w:semiHidden/>
    <w:rsid w:val="00F73FBD"/>
    <w:rPr>
      <w:rFonts w:ascii="Arial" w:eastAsia="Times New Roman" w:hAnsi="Arial" w:cs="Arial"/>
      <w:lang w:eastAsia="fr-FR"/>
    </w:rPr>
  </w:style>
  <w:style w:type="paragraph" w:customStyle="1" w:styleId="Legendes">
    <w:name w:val="Legendes"/>
    <w:basedOn w:val="Normal"/>
    <w:qFormat/>
    <w:rsid w:val="008E4B8C"/>
    <w:pPr>
      <w:widowControl w:val="0"/>
      <w:spacing w:before="120" w:after="0" w:line="240" w:lineRule="auto"/>
      <w:jc w:val="center"/>
    </w:pPr>
    <w:rPr>
      <w:rFonts w:eastAsia="Times New Roman" w:cs="Arial"/>
      <w:i/>
      <w:szCs w:val="24"/>
      <w:lang w:eastAsia="fr-FR"/>
    </w:rPr>
  </w:style>
  <w:style w:type="paragraph" w:customStyle="1" w:styleId="Normaltiret">
    <w:name w:val="Normaltiret"/>
    <w:basedOn w:val="Normal"/>
    <w:qFormat/>
    <w:rsid w:val="00AE44A3"/>
    <w:pPr>
      <w:widowControl w:val="0"/>
      <w:numPr>
        <w:numId w:val="2"/>
      </w:numPr>
      <w:spacing w:before="120" w:after="0" w:line="240" w:lineRule="auto"/>
      <w:ind w:left="720"/>
      <w:jc w:val="both"/>
    </w:pPr>
    <w:rPr>
      <w:rFonts w:eastAsia="Times New Roman" w:cs="Times New Roman"/>
      <w:szCs w:val="24"/>
      <w:lang w:eastAsia="fr-FR"/>
    </w:rPr>
  </w:style>
  <w:style w:type="paragraph" w:customStyle="1" w:styleId="titreanx">
    <w:name w:val="titreanx"/>
    <w:basedOn w:val="Titre1"/>
    <w:rsid w:val="00F73FBD"/>
    <w:pPr>
      <w:numPr>
        <w:numId w:val="0"/>
      </w:numPr>
    </w:pPr>
    <w:rPr>
      <w:rFonts w:ascii="Arial" w:hAnsi="Arial"/>
    </w:rPr>
  </w:style>
  <w:style w:type="character" w:styleId="Rfrenceintense">
    <w:name w:val="Intense Reference"/>
    <w:aliases w:val="Référence"/>
    <w:uiPriority w:val="32"/>
    <w:qFormat/>
    <w:rsid w:val="00911CDB"/>
    <w:rPr>
      <w:rFonts w:ascii="Century Gothic" w:hAnsi="Century Gothic"/>
      <w:sz w:val="22"/>
      <w:lang w:val="en-GB"/>
    </w:rPr>
  </w:style>
  <w:style w:type="character" w:styleId="Marquedecommentaire">
    <w:name w:val="annotation reference"/>
    <w:basedOn w:val="Policepardfaut"/>
    <w:uiPriority w:val="99"/>
    <w:semiHidden/>
    <w:unhideWhenUsed/>
    <w:rsid w:val="00330BB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30BB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30BB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30BB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30BBB"/>
    <w:rPr>
      <w:b/>
      <w:bCs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unhideWhenUsed/>
    <w:rsid w:val="00F445A9"/>
    <w:pPr>
      <w:spacing w:after="0" w:line="240" w:lineRule="auto"/>
    </w:pPr>
    <w:rPr>
      <w:rFonts w:asciiTheme="minorHAnsi" w:hAnsiTheme="minorHAnsi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F445A9"/>
    <w:rPr>
      <w:sz w:val="20"/>
      <w:szCs w:val="20"/>
    </w:rPr>
  </w:style>
  <w:style w:type="character" w:styleId="Appelnotedebasdep">
    <w:name w:val="footnote reference"/>
    <w:basedOn w:val="Policepardfaut"/>
    <w:uiPriority w:val="99"/>
    <w:unhideWhenUsed/>
    <w:rsid w:val="00F445A9"/>
    <w:rPr>
      <w:vertAlign w:val="superscript"/>
    </w:rPr>
  </w:style>
  <w:style w:type="paragraph" w:styleId="Pardeliste">
    <w:name w:val="List Paragraph"/>
    <w:basedOn w:val="Normal"/>
    <w:uiPriority w:val="34"/>
    <w:qFormat/>
    <w:rsid w:val="00986E45"/>
    <w:pPr>
      <w:ind w:left="720"/>
      <w:contextualSpacing/>
    </w:p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B50E5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B50E51"/>
    <w:rPr>
      <w:rFonts w:ascii="Times New Roman" w:hAnsi="Times New Roman" w:cs="Times New Roman"/>
      <w:sz w:val="24"/>
      <w:szCs w:val="24"/>
    </w:rPr>
  </w:style>
  <w:style w:type="paragraph" w:customStyle="1" w:styleId="biblio">
    <w:name w:val="biblio"/>
    <w:basedOn w:val="Normal"/>
    <w:link w:val="biblioCar"/>
    <w:qFormat/>
    <w:rsid w:val="00E80ED8"/>
    <w:pPr>
      <w:spacing w:after="160" w:line="259" w:lineRule="auto"/>
      <w:ind w:left="567" w:hanging="567"/>
      <w:jc w:val="both"/>
    </w:pPr>
    <w:rPr>
      <w:rFonts w:ascii="Garamond" w:hAnsi="Garamond"/>
      <w:sz w:val="24"/>
      <w:szCs w:val="24"/>
    </w:rPr>
  </w:style>
  <w:style w:type="character" w:customStyle="1" w:styleId="biblioCar">
    <w:name w:val="biblio Car"/>
    <w:basedOn w:val="Policepardfaut"/>
    <w:link w:val="biblio"/>
    <w:rsid w:val="00E80ED8"/>
    <w:rPr>
      <w:rFonts w:ascii="Garamond" w:hAnsi="Garamond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4C7D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24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38912-E969-9042-9249-51C0DDC74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14</Pages>
  <Words>3176</Words>
  <Characters>17470</Characters>
  <Application>Microsoft Macintosh Word</Application>
  <DocSecurity>0</DocSecurity>
  <Lines>145</Lines>
  <Paragraphs>41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 de Lyon</Company>
  <LinksUpToDate>false</LinksUpToDate>
  <CharactersWithSpaces>20605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Editors</dc:creator>
  <cp:lastModifiedBy>Utilisateur de Microsoft Office</cp:lastModifiedBy>
  <cp:revision>34</cp:revision>
  <cp:lastPrinted>2018-12-05T07:57:00Z</cp:lastPrinted>
  <dcterms:created xsi:type="dcterms:W3CDTF">2019-04-14T10:53:00Z</dcterms:created>
  <dcterms:modified xsi:type="dcterms:W3CDTF">2019-04-15T22:27:00Z</dcterms:modified>
</cp:coreProperties>
</file>