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37BF0" w14:textId="4A7288AA" w:rsidR="00312E4C" w:rsidRPr="00AD1FE7" w:rsidRDefault="00312E4C" w:rsidP="00666F74">
      <w:pPr>
        <w:spacing w:after="240"/>
        <w:jc w:val="both"/>
        <w:rPr>
          <w:color w:val="244061" w:themeColor="accent1" w:themeShade="80"/>
          <w:sz w:val="28"/>
          <w:szCs w:val="28"/>
        </w:rPr>
      </w:pPr>
      <w:r w:rsidRPr="00911CDB">
        <w:rPr>
          <w:b/>
          <w:color w:val="244061" w:themeColor="accent1" w:themeShade="80"/>
          <w:sz w:val="28"/>
          <w:szCs w:val="28"/>
        </w:rPr>
        <w:t xml:space="preserve">Titre de la </w:t>
      </w:r>
      <w:r w:rsidR="00D43DEC" w:rsidRPr="0090504D">
        <w:rPr>
          <w:b/>
          <w:color w:val="244061" w:themeColor="accent1" w:themeShade="80"/>
          <w:sz w:val="28"/>
          <w:szCs w:val="28"/>
        </w:rPr>
        <w:t>présentation</w:t>
      </w:r>
      <w:r w:rsidR="00DC2827" w:rsidRPr="0090504D">
        <w:rPr>
          <w:b/>
          <w:color w:val="244061" w:themeColor="accent1" w:themeShade="80"/>
          <w:sz w:val="28"/>
          <w:szCs w:val="28"/>
        </w:rPr>
        <w:t xml:space="preserve"> : </w:t>
      </w:r>
      <w:r w:rsidR="00BF159F" w:rsidRPr="000E509B">
        <w:rPr>
          <w:color w:val="244061" w:themeColor="accent1" w:themeShade="80"/>
          <w:sz w:val="28"/>
          <w:szCs w:val="28"/>
        </w:rPr>
        <w:t>«</w:t>
      </w:r>
      <w:r w:rsidR="00BF159F" w:rsidRPr="000E509B">
        <w:rPr>
          <w:b/>
          <w:color w:val="244061" w:themeColor="accent1" w:themeShade="80"/>
          <w:sz w:val="28"/>
          <w:szCs w:val="28"/>
        </w:rPr>
        <w:t> </w:t>
      </w:r>
      <w:r w:rsidR="00B13607" w:rsidRPr="000E509B">
        <w:rPr>
          <w:color w:val="244061" w:themeColor="accent1" w:themeShade="80"/>
          <w:sz w:val="28"/>
          <w:szCs w:val="28"/>
        </w:rPr>
        <w:t xml:space="preserve">Faire </w:t>
      </w:r>
      <w:r w:rsidR="00BF159F" w:rsidRPr="000E509B">
        <w:rPr>
          <w:color w:val="244061" w:themeColor="accent1" w:themeShade="80"/>
          <w:sz w:val="28"/>
          <w:szCs w:val="28"/>
        </w:rPr>
        <w:t>marche</w:t>
      </w:r>
      <w:r w:rsidR="00A9232B" w:rsidRPr="000E509B">
        <w:rPr>
          <w:color w:val="244061" w:themeColor="accent1" w:themeShade="80"/>
          <w:sz w:val="28"/>
          <w:szCs w:val="28"/>
        </w:rPr>
        <w:t>r</w:t>
      </w:r>
      <w:r w:rsidR="00BF159F" w:rsidRPr="000E509B">
        <w:rPr>
          <w:color w:val="244061" w:themeColor="accent1" w:themeShade="80"/>
          <w:sz w:val="28"/>
          <w:szCs w:val="28"/>
        </w:rPr>
        <w:t> »</w:t>
      </w:r>
      <w:r w:rsidR="00B13607" w:rsidRPr="000E509B">
        <w:rPr>
          <w:color w:val="244061" w:themeColor="accent1" w:themeShade="80"/>
          <w:sz w:val="28"/>
          <w:szCs w:val="28"/>
        </w:rPr>
        <w:t xml:space="preserve"> </w:t>
      </w:r>
      <w:r w:rsidR="00666F74" w:rsidRPr="000E509B">
        <w:rPr>
          <w:color w:val="244061" w:themeColor="accent1" w:themeShade="80"/>
          <w:sz w:val="28"/>
          <w:szCs w:val="28"/>
        </w:rPr>
        <w:t>mille</w:t>
      </w:r>
      <w:r w:rsidR="00A9232B" w:rsidRPr="000E509B">
        <w:rPr>
          <w:color w:val="244061" w:themeColor="accent1" w:themeShade="80"/>
          <w:sz w:val="28"/>
          <w:szCs w:val="28"/>
        </w:rPr>
        <w:t xml:space="preserve"> réservoirs</w:t>
      </w:r>
      <w:r w:rsidR="00415509" w:rsidRPr="000E509B">
        <w:rPr>
          <w:color w:val="244061" w:themeColor="accent1" w:themeShade="80"/>
          <w:sz w:val="28"/>
          <w:szCs w:val="28"/>
        </w:rPr>
        <w:t xml:space="preserve"> collinaires</w:t>
      </w:r>
      <w:r w:rsidR="000E509B">
        <w:rPr>
          <w:color w:val="244061" w:themeColor="accent1" w:themeShade="80"/>
          <w:sz w:val="28"/>
          <w:szCs w:val="28"/>
        </w:rPr>
        <w:t>. P</w:t>
      </w:r>
      <w:r w:rsidR="006103E1" w:rsidRPr="000E509B">
        <w:rPr>
          <w:color w:val="244061" w:themeColor="accent1" w:themeShade="80"/>
          <w:sz w:val="28"/>
          <w:szCs w:val="28"/>
        </w:rPr>
        <w:t>olitique du quotidien autour des coopératives d’irrigation dans la région d’Izmir (Turquie).</w:t>
      </w:r>
    </w:p>
    <w:p w14:paraId="6296A6C3" w14:textId="77777777" w:rsidR="00312E4C" w:rsidRPr="0090504D" w:rsidRDefault="00623AA3" w:rsidP="00B16236">
      <w:pPr>
        <w:spacing w:after="0"/>
        <w:rPr>
          <w:b/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Nom</w:t>
      </w:r>
      <w:r w:rsidR="00686CA2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686CA2" w:rsidRPr="00AD1FE7">
        <w:rPr>
          <w:color w:val="244061" w:themeColor="accent1" w:themeShade="80"/>
          <w:sz w:val="24"/>
          <w:szCs w:val="24"/>
        </w:rPr>
        <w:t>Le Visage</w:t>
      </w:r>
    </w:p>
    <w:p w14:paraId="48887B5A" w14:textId="77777777" w:rsidR="00623AA3" w:rsidRPr="00AD1FE7" w:rsidRDefault="00623AA3" w:rsidP="00A9232B">
      <w:pPr>
        <w:spacing w:after="120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Prénom</w:t>
      </w:r>
      <w:r w:rsidR="00686CA2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686CA2" w:rsidRPr="00AD1FE7">
        <w:rPr>
          <w:color w:val="244061" w:themeColor="accent1" w:themeShade="80"/>
          <w:sz w:val="24"/>
          <w:szCs w:val="24"/>
        </w:rPr>
        <w:t>Selin</w:t>
      </w:r>
    </w:p>
    <w:p w14:paraId="36F116D8" w14:textId="3058F5D5" w:rsidR="002E3637" w:rsidRPr="00AD1FE7" w:rsidRDefault="00A54615" w:rsidP="00A9232B">
      <w:pPr>
        <w:spacing w:after="120"/>
        <w:jc w:val="both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T</w:t>
      </w:r>
      <w:r w:rsidR="002E3637" w:rsidRPr="0090504D">
        <w:rPr>
          <w:b/>
          <w:color w:val="244061" w:themeColor="accent1" w:themeShade="80"/>
          <w:sz w:val="24"/>
          <w:szCs w:val="24"/>
        </w:rPr>
        <w:t>hèse</w:t>
      </w:r>
      <w:r w:rsidR="00686CA2" w:rsidRPr="0090504D">
        <w:rPr>
          <w:b/>
          <w:color w:val="244061" w:themeColor="accent1" w:themeShade="80"/>
          <w:sz w:val="24"/>
          <w:szCs w:val="24"/>
        </w:rPr>
        <w:t> :</w:t>
      </w:r>
      <w:r w:rsidR="008C73BC" w:rsidRPr="0090504D">
        <w:rPr>
          <w:b/>
          <w:color w:val="244061" w:themeColor="accent1" w:themeShade="80"/>
          <w:sz w:val="24"/>
          <w:szCs w:val="24"/>
        </w:rPr>
        <w:t xml:space="preserve"> </w:t>
      </w:r>
      <w:r w:rsidR="008C73BC" w:rsidRPr="00AD1FE7">
        <w:rPr>
          <w:color w:val="244061" w:themeColor="accent1" w:themeShade="80"/>
          <w:sz w:val="24"/>
          <w:szCs w:val="24"/>
        </w:rPr>
        <w:t xml:space="preserve">“1000 </w:t>
      </w:r>
      <w:r w:rsidR="00A9232B">
        <w:rPr>
          <w:color w:val="244061" w:themeColor="accent1" w:themeShade="80"/>
          <w:sz w:val="24"/>
          <w:szCs w:val="24"/>
        </w:rPr>
        <w:t>réservoirs collinaires</w:t>
      </w:r>
      <w:r w:rsidR="008C73BC" w:rsidRPr="00AD1FE7">
        <w:rPr>
          <w:color w:val="244061" w:themeColor="accent1" w:themeShade="80"/>
          <w:sz w:val="24"/>
          <w:szCs w:val="24"/>
        </w:rPr>
        <w:t xml:space="preserve"> en 1000 jours” : </w:t>
      </w:r>
      <w:r w:rsidR="009F674A" w:rsidRPr="00AD1FE7">
        <w:rPr>
          <w:color w:val="244061" w:themeColor="accent1" w:themeShade="80"/>
          <w:sz w:val="24"/>
          <w:szCs w:val="24"/>
        </w:rPr>
        <w:t>aménagement de l’irrigation par l’Etat et réalités locales des eaux souterraines dans la région d’Izmir, Turquie.</w:t>
      </w:r>
    </w:p>
    <w:p w14:paraId="5A062C91" w14:textId="77777777" w:rsidR="00E96C3B" w:rsidRPr="00AD1FE7" w:rsidRDefault="00E96C3B" w:rsidP="00B16236">
      <w:pPr>
        <w:spacing w:after="0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Discipline</w:t>
      </w:r>
      <w:r w:rsidR="00686CA2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A54615" w:rsidRPr="00AD1FE7">
        <w:rPr>
          <w:color w:val="244061" w:themeColor="accent1" w:themeShade="80"/>
          <w:sz w:val="24"/>
          <w:szCs w:val="24"/>
        </w:rPr>
        <w:t>G</w:t>
      </w:r>
      <w:r w:rsidR="00686CA2" w:rsidRPr="00AD1FE7">
        <w:rPr>
          <w:color w:val="244061" w:themeColor="accent1" w:themeShade="80"/>
          <w:sz w:val="24"/>
          <w:szCs w:val="24"/>
        </w:rPr>
        <w:t>éographie</w:t>
      </w:r>
    </w:p>
    <w:p w14:paraId="39E8972F" w14:textId="77777777" w:rsidR="00623AA3" w:rsidRPr="00AD1FE7" w:rsidRDefault="00623AA3" w:rsidP="00B16236">
      <w:pPr>
        <w:spacing w:after="120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Directeur</w:t>
      </w:r>
      <w:r w:rsidR="00A54615" w:rsidRPr="0090504D">
        <w:rPr>
          <w:b/>
          <w:color w:val="244061" w:themeColor="accent1" w:themeShade="80"/>
          <w:sz w:val="24"/>
          <w:szCs w:val="24"/>
        </w:rPr>
        <w:t xml:space="preserve">s </w:t>
      </w:r>
      <w:r w:rsidRPr="0090504D">
        <w:rPr>
          <w:b/>
          <w:color w:val="244061" w:themeColor="accent1" w:themeShade="80"/>
          <w:sz w:val="24"/>
          <w:szCs w:val="24"/>
        </w:rPr>
        <w:t>de thèse</w:t>
      </w:r>
      <w:r w:rsidR="00686CA2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686CA2" w:rsidRPr="00AD1FE7">
        <w:rPr>
          <w:color w:val="244061" w:themeColor="accent1" w:themeShade="80"/>
          <w:sz w:val="24"/>
          <w:szCs w:val="24"/>
        </w:rPr>
        <w:t>David Blanchon (</w:t>
      </w:r>
      <w:r w:rsidR="003557AF" w:rsidRPr="00AD1FE7">
        <w:rPr>
          <w:color w:val="244061" w:themeColor="accent1" w:themeShade="80"/>
          <w:sz w:val="24"/>
          <w:szCs w:val="24"/>
        </w:rPr>
        <w:t>Université Paris Nanterre, UMR LAVUE) et Marcel Kuper (Cirad, IAV, UMR G-EAU)</w:t>
      </w:r>
    </w:p>
    <w:p w14:paraId="2AFCBE1E" w14:textId="77777777" w:rsidR="00623AA3" w:rsidRPr="00AD1FE7" w:rsidRDefault="00623AA3" w:rsidP="00B16236">
      <w:pPr>
        <w:spacing w:after="0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Financement de la thèse</w:t>
      </w:r>
      <w:r w:rsidR="003557AF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3557AF" w:rsidRPr="00AD1FE7">
        <w:rPr>
          <w:color w:val="244061" w:themeColor="accent1" w:themeShade="80"/>
          <w:sz w:val="24"/>
          <w:szCs w:val="24"/>
        </w:rPr>
        <w:t>contrat doctoral</w:t>
      </w:r>
    </w:p>
    <w:p w14:paraId="3D1648C9" w14:textId="77777777" w:rsidR="002E3637" w:rsidRPr="00AD1FE7" w:rsidRDefault="002E3637" w:rsidP="00A9232B">
      <w:pPr>
        <w:spacing w:after="120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Date d’inscription en thèse</w:t>
      </w:r>
      <w:r w:rsidR="003557AF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3557AF" w:rsidRPr="00AD1FE7">
        <w:rPr>
          <w:color w:val="244061" w:themeColor="accent1" w:themeShade="80"/>
          <w:sz w:val="24"/>
          <w:szCs w:val="24"/>
        </w:rPr>
        <w:t>septembre 2016</w:t>
      </w:r>
    </w:p>
    <w:p w14:paraId="1AF3103A" w14:textId="1C2538A6" w:rsidR="00312E4C" w:rsidRPr="00AD1FE7" w:rsidRDefault="00F73FBD" w:rsidP="00714E98">
      <w:pPr>
        <w:spacing w:after="0"/>
        <w:rPr>
          <w:color w:val="244061" w:themeColor="accent1" w:themeShade="80"/>
          <w:sz w:val="24"/>
          <w:szCs w:val="24"/>
        </w:rPr>
      </w:pPr>
      <w:r w:rsidRPr="0090504D">
        <w:rPr>
          <w:b/>
          <w:color w:val="244061" w:themeColor="accent1" w:themeShade="80"/>
          <w:sz w:val="24"/>
          <w:szCs w:val="24"/>
        </w:rPr>
        <w:t>Organismes et adresses (mai</w:t>
      </w:r>
      <w:r w:rsidR="00312E4C" w:rsidRPr="0090504D">
        <w:rPr>
          <w:b/>
          <w:color w:val="244061" w:themeColor="accent1" w:themeShade="80"/>
          <w:sz w:val="24"/>
          <w:szCs w:val="24"/>
        </w:rPr>
        <w:t>ls)</w:t>
      </w:r>
      <w:r w:rsidR="003557AF" w:rsidRPr="0090504D">
        <w:rPr>
          <w:b/>
          <w:color w:val="244061" w:themeColor="accent1" w:themeShade="80"/>
          <w:sz w:val="24"/>
          <w:szCs w:val="24"/>
        </w:rPr>
        <w:t xml:space="preserve"> : </w:t>
      </w:r>
      <w:r w:rsidR="003557AF" w:rsidRPr="00AD1FE7">
        <w:rPr>
          <w:color w:val="244061" w:themeColor="accent1" w:themeShade="80"/>
          <w:sz w:val="24"/>
          <w:szCs w:val="24"/>
        </w:rPr>
        <w:t>Université Paris Nanterre</w:t>
      </w:r>
      <w:r w:rsidR="00A9232B">
        <w:rPr>
          <w:color w:val="244061" w:themeColor="accent1" w:themeShade="80"/>
          <w:sz w:val="24"/>
          <w:szCs w:val="24"/>
        </w:rPr>
        <w:t xml:space="preserve">, </w:t>
      </w:r>
      <w:r w:rsidR="003557AF" w:rsidRPr="00AD1FE7">
        <w:rPr>
          <w:color w:val="244061" w:themeColor="accent1" w:themeShade="80"/>
          <w:sz w:val="24"/>
          <w:szCs w:val="24"/>
        </w:rPr>
        <w:t>UMR LAVUE</w:t>
      </w:r>
      <w:r w:rsidR="00DC2827" w:rsidRPr="00AD1FE7">
        <w:rPr>
          <w:color w:val="244061" w:themeColor="accent1" w:themeShade="80"/>
          <w:sz w:val="24"/>
          <w:szCs w:val="24"/>
        </w:rPr>
        <w:t> </w:t>
      </w:r>
      <w:r w:rsidR="00EE4551" w:rsidRPr="00AD1FE7">
        <w:rPr>
          <w:color w:val="244061" w:themeColor="accent1" w:themeShade="80"/>
          <w:sz w:val="24"/>
          <w:szCs w:val="24"/>
        </w:rPr>
        <w:t>et</w:t>
      </w:r>
      <w:r w:rsidR="00DC2827" w:rsidRPr="00AD1FE7">
        <w:rPr>
          <w:color w:val="244061" w:themeColor="accent1" w:themeShade="80"/>
          <w:sz w:val="24"/>
          <w:szCs w:val="24"/>
        </w:rPr>
        <w:t xml:space="preserve"> Cirad</w:t>
      </w:r>
      <w:r w:rsidR="00A9232B">
        <w:rPr>
          <w:color w:val="244061" w:themeColor="accent1" w:themeShade="80"/>
          <w:sz w:val="24"/>
          <w:szCs w:val="24"/>
        </w:rPr>
        <w:t xml:space="preserve">, </w:t>
      </w:r>
      <w:r w:rsidR="00DC2827" w:rsidRPr="00AD1FE7">
        <w:rPr>
          <w:color w:val="244061" w:themeColor="accent1" w:themeShade="80"/>
          <w:sz w:val="24"/>
          <w:szCs w:val="24"/>
        </w:rPr>
        <w:t>UMR G-EAU</w:t>
      </w:r>
      <w:r w:rsidR="00A54615" w:rsidRPr="00AD1FE7">
        <w:rPr>
          <w:color w:val="244061" w:themeColor="accent1" w:themeShade="80"/>
          <w:sz w:val="24"/>
          <w:szCs w:val="24"/>
        </w:rPr>
        <w:t xml:space="preserve"> ; </w:t>
      </w:r>
      <w:hyperlink r:id="rId9" w:history="1">
        <w:r w:rsidR="00A54615" w:rsidRPr="00AD1FE7">
          <w:rPr>
            <w:rStyle w:val="Lienhypertexte"/>
            <w:color w:val="244061" w:themeColor="accent1" w:themeShade="80"/>
            <w:sz w:val="24"/>
            <w:szCs w:val="24"/>
          </w:rPr>
          <w:t>s.levisage@gmail.com</w:t>
        </w:r>
      </w:hyperlink>
      <w:r w:rsidR="00EE4551" w:rsidRPr="00AD1FE7">
        <w:rPr>
          <w:color w:val="244061" w:themeColor="accent1" w:themeShade="80"/>
          <w:sz w:val="24"/>
          <w:szCs w:val="24"/>
        </w:rPr>
        <w:t> ;</w:t>
      </w:r>
      <w:r w:rsidR="00A54615" w:rsidRPr="00AD1FE7">
        <w:rPr>
          <w:color w:val="244061" w:themeColor="accent1" w:themeShade="80"/>
          <w:sz w:val="24"/>
          <w:szCs w:val="24"/>
        </w:rPr>
        <w:t xml:space="preserve"> </w:t>
      </w:r>
      <w:hyperlink r:id="rId10" w:history="1">
        <w:r w:rsidR="00A54615" w:rsidRPr="00AD1FE7">
          <w:rPr>
            <w:rStyle w:val="Lienhypertexte"/>
            <w:color w:val="244061" w:themeColor="accent1" w:themeShade="80"/>
            <w:sz w:val="24"/>
            <w:szCs w:val="24"/>
          </w:rPr>
          <w:t>slevisage@parisnanterre.fr</w:t>
        </w:r>
      </w:hyperlink>
      <w:r w:rsidR="00A54615" w:rsidRPr="00AD1FE7">
        <w:rPr>
          <w:color w:val="244061" w:themeColor="accent1" w:themeShade="80"/>
          <w:sz w:val="24"/>
          <w:szCs w:val="24"/>
        </w:rPr>
        <w:t xml:space="preserve"> </w:t>
      </w:r>
    </w:p>
    <w:p w14:paraId="79C2464D" w14:textId="77777777" w:rsidR="00312E4C" w:rsidRPr="00911CDB" w:rsidRDefault="00312E4C" w:rsidP="002B4378">
      <w:pPr>
        <w:spacing w:after="0"/>
      </w:pPr>
    </w:p>
    <w:p w14:paraId="2D0FF1E2" w14:textId="77777777" w:rsidR="00F73FBD" w:rsidRPr="00911CDB" w:rsidRDefault="00F73FBD" w:rsidP="00A9232B">
      <w:pPr>
        <w:spacing w:after="120"/>
        <w:rPr>
          <w:color w:val="244061" w:themeColor="accent1" w:themeShade="80"/>
          <w:sz w:val="28"/>
          <w:szCs w:val="28"/>
        </w:rPr>
      </w:pPr>
      <w:r w:rsidRPr="00911CDB">
        <w:rPr>
          <w:b/>
          <w:color w:val="244061" w:themeColor="accent1" w:themeShade="80"/>
          <w:sz w:val="28"/>
          <w:szCs w:val="28"/>
        </w:rPr>
        <w:t>Format de présentation</w:t>
      </w:r>
    </w:p>
    <w:p w14:paraId="57BF32F5" w14:textId="77777777" w:rsidR="00312E4C" w:rsidRPr="00911CDB" w:rsidRDefault="002E160C" w:rsidP="00F73FBD">
      <w:pPr>
        <w:tabs>
          <w:tab w:val="left" w:pos="735"/>
        </w:tabs>
        <w:spacing w:after="0"/>
        <w:ind w:left="708"/>
      </w:pPr>
      <w:sdt>
        <w:sdtPr>
          <w:id w:val="2813891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2827">
            <w:rPr>
              <w:rFonts w:ascii="MS Gothic" w:eastAsia="MS Gothic" w:hAnsi="MS Gothic" w:hint="eastAsia"/>
            </w:rPr>
            <w:t>☒</w:t>
          </w:r>
        </w:sdtContent>
      </w:sdt>
      <w:r w:rsidR="00F73FBD" w:rsidRPr="00911CDB">
        <w:tab/>
        <w:t>Communication orale (15 minutes)</w:t>
      </w:r>
    </w:p>
    <w:p w14:paraId="5D12C242" w14:textId="77777777" w:rsidR="00F73FBD" w:rsidRPr="00911CDB" w:rsidRDefault="002E160C" w:rsidP="00F73FBD">
      <w:pPr>
        <w:tabs>
          <w:tab w:val="left" w:pos="735"/>
        </w:tabs>
        <w:spacing w:after="0"/>
        <w:ind w:left="708"/>
      </w:pPr>
      <w:sdt>
        <w:sdtPr>
          <w:id w:val="19404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FBD" w:rsidRPr="00911CDB">
            <w:rPr>
              <w:rFonts w:ascii="MS Gothic" w:eastAsia="MS Gothic" w:hAnsi="MS Gothic" w:cs="MS Gothic" w:hint="eastAsia"/>
            </w:rPr>
            <w:t>☐</w:t>
          </w:r>
        </w:sdtContent>
      </w:sdt>
      <w:r w:rsidR="00F73FBD" w:rsidRPr="00911CDB">
        <w:tab/>
        <w:t xml:space="preserve">Poster </w:t>
      </w:r>
      <w:r w:rsidR="00BA43D7" w:rsidRPr="00872D90">
        <w:t>(format A0)</w:t>
      </w:r>
    </w:p>
    <w:p w14:paraId="33B35557" w14:textId="77777777" w:rsidR="00F73FBD" w:rsidRPr="00911CDB" w:rsidRDefault="002E160C" w:rsidP="00F73FBD">
      <w:pPr>
        <w:tabs>
          <w:tab w:val="left" w:pos="735"/>
        </w:tabs>
        <w:spacing w:after="0"/>
        <w:ind w:left="708"/>
      </w:pPr>
      <w:sdt>
        <w:sdtPr>
          <w:id w:val="1584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FBD" w:rsidRPr="00911CDB">
            <w:rPr>
              <w:rFonts w:ascii="MS Gothic" w:eastAsia="MS Gothic" w:hAnsi="MS Gothic" w:cs="MS Gothic" w:hint="eastAsia"/>
            </w:rPr>
            <w:t>☐</w:t>
          </w:r>
        </w:sdtContent>
      </w:sdt>
      <w:r w:rsidR="00F73FBD" w:rsidRPr="00911CDB">
        <w:tab/>
      </w:r>
      <w:r w:rsidR="00915C4A" w:rsidRPr="00911CDB">
        <w:t>« M</w:t>
      </w:r>
      <w:r w:rsidR="00F73FBD" w:rsidRPr="00911CDB">
        <w:t>a thèse en trois images </w:t>
      </w:r>
      <w:r w:rsidR="00780C6A" w:rsidRPr="00911CDB">
        <w:t xml:space="preserve"> et 180 secondes </w:t>
      </w:r>
      <w:r w:rsidR="00F73FBD" w:rsidRPr="00911CDB">
        <w:t>» (</w:t>
      </w:r>
      <w:r w:rsidR="00915C4A" w:rsidRPr="00911CDB">
        <w:t>3 minutes)</w:t>
      </w:r>
    </w:p>
    <w:p w14:paraId="01DDABA6" w14:textId="77777777" w:rsidR="00312E4C" w:rsidRPr="00911CDB" w:rsidRDefault="00312E4C" w:rsidP="002B4378">
      <w:pPr>
        <w:spacing w:after="0"/>
      </w:pPr>
    </w:p>
    <w:p w14:paraId="300EA5E5" w14:textId="747F6279" w:rsidR="00312E4C" w:rsidRPr="00911CDB" w:rsidRDefault="00312E4C" w:rsidP="00A9232B">
      <w:pPr>
        <w:spacing w:after="120"/>
        <w:jc w:val="both"/>
      </w:pPr>
      <w:r w:rsidRPr="00911CDB">
        <w:rPr>
          <w:b/>
          <w:color w:val="244061" w:themeColor="accent1" w:themeShade="80"/>
          <w:sz w:val="28"/>
          <w:szCs w:val="28"/>
        </w:rPr>
        <w:t>R</w:t>
      </w:r>
      <w:r w:rsidR="00BA43D7" w:rsidRPr="00911CDB">
        <w:rPr>
          <w:b/>
          <w:color w:val="244061" w:themeColor="accent1" w:themeShade="80"/>
          <w:sz w:val="28"/>
          <w:szCs w:val="28"/>
        </w:rPr>
        <w:t>ésumé</w:t>
      </w:r>
      <w:r w:rsidR="00E72562">
        <w:rPr>
          <w:b/>
          <w:color w:val="244061" w:themeColor="accent1" w:themeShade="80"/>
          <w:sz w:val="28"/>
          <w:szCs w:val="28"/>
        </w:rPr>
        <w:t xml:space="preserve"> (15 lignes) : </w:t>
      </w:r>
      <w:r w:rsidR="009A7C61">
        <w:t>En</w:t>
      </w:r>
      <w:r w:rsidR="002B52B1">
        <w:t xml:space="preserve"> 2012</w:t>
      </w:r>
      <w:r w:rsidR="003C7023">
        <w:t>,</w:t>
      </w:r>
      <w:r w:rsidR="002B52B1">
        <w:t xml:space="preserve"> l’Etat turc </w:t>
      </w:r>
      <w:r w:rsidR="003C7023">
        <w:t xml:space="preserve">a lancé </w:t>
      </w:r>
      <w:r w:rsidR="002B52B1">
        <w:t xml:space="preserve">la construction de « 1000 </w:t>
      </w:r>
      <w:r w:rsidR="00A9232B">
        <w:t>réservoirs</w:t>
      </w:r>
      <w:r w:rsidR="002B52B1">
        <w:t xml:space="preserve"> collinaires en 1000 jours » à travers le pays, ouvrages destinés à l’irrigation et </w:t>
      </w:r>
      <w:r w:rsidR="00BF159F">
        <w:t>acceptés localement</w:t>
      </w:r>
      <w:r w:rsidR="002B52B1">
        <w:t xml:space="preserve"> par les agriculteurs. </w:t>
      </w:r>
      <w:r w:rsidR="009A7C61">
        <w:t>L</w:t>
      </w:r>
      <w:r w:rsidR="002B52B1">
        <w:t>’étude de ces objets</w:t>
      </w:r>
      <w:r w:rsidR="009A7C61">
        <w:t xml:space="preserve"> non contestés</w:t>
      </w:r>
      <w:r w:rsidR="002B52B1">
        <w:t xml:space="preserve"> </w:t>
      </w:r>
      <w:r w:rsidR="00B233E5">
        <w:t>permet d’observer</w:t>
      </w:r>
      <w:r w:rsidR="002B52B1">
        <w:t xml:space="preserve"> l’action publique « par le bas</w:t>
      </w:r>
      <w:r w:rsidR="00B233E5">
        <w:t> »</w:t>
      </w:r>
      <w:r w:rsidR="007D77FE">
        <w:t xml:space="preserve"> </w:t>
      </w:r>
      <w:r w:rsidR="00B233E5">
        <w:t xml:space="preserve">lors de la mise en œuvre </w:t>
      </w:r>
      <w:r w:rsidR="00BF159F">
        <w:t>des</w:t>
      </w:r>
      <w:r w:rsidR="00B233E5">
        <w:t xml:space="preserve"> projets au niveau local</w:t>
      </w:r>
      <w:r w:rsidR="00D91BC6">
        <w:t>,</w:t>
      </w:r>
      <w:r w:rsidR="00B233E5">
        <w:t xml:space="preserve"> </w:t>
      </w:r>
      <w:r w:rsidR="00D91BC6">
        <w:t>ainsi que</w:t>
      </w:r>
      <w:r w:rsidR="002B52B1">
        <w:t xml:space="preserve"> les relations sociales et politiques en </w:t>
      </w:r>
      <w:r w:rsidR="003B4C0C">
        <w:t>action</w:t>
      </w:r>
      <w:r w:rsidR="002B52B1">
        <w:t xml:space="preserve"> lors du façonnage d’institutions de gestion de l’eau. Nous considérons cette politique du quotidien comme un processus dynamique</w:t>
      </w:r>
      <w:r w:rsidR="00BF159F">
        <w:t>,</w:t>
      </w:r>
      <w:r w:rsidR="002B52B1">
        <w:t xml:space="preserve"> avec une interpénétration des sphères administrative, politique et sociale. </w:t>
      </w:r>
      <w:r w:rsidR="00BF159F">
        <w:t>Nous</w:t>
      </w:r>
      <w:r w:rsidR="002B52B1">
        <w:t xml:space="preserve"> </w:t>
      </w:r>
      <w:r w:rsidR="00D63C49">
        <w:t>avons étudié</w:t>
      </w:r>
      <w:r w:rsidR="001D5439">
        <w:t xml:space="preserve"> le cas de</w:t>
      </w:r>
      <w:r w:rsidR="00D63C49">
        <w:t xml:space="preserve"> sept</w:t>
      </w:r>
      <w:r w:rsidR="001D5439">
        <w:t xml:space="preserve"> </w:t>
      </w:r>
      <w:r w:rsidR="00BF159F">
        <w:t>réservoirs</w:t>
      </w:r>
      <w:r w:rsidR="00D63C49">
        <w:t xml:space="preserve"> collinaires construits dans la région d’Izmir, en Turquie</w:t>
      </w:r>
      <w:r w:rsidR="003B4C0C">
        <w:t>,</w:t>
      </w:r>
      <w:r w:rsidR="007B1ABC">
        <w:t xml:space="preserve"> et </w:t>
      </w:r>
      <w:r w:rsidR="00BF159F">
        <w:t xml:space="preserve">plus précisément </w:t>
      </w:r>
      <w:r w:rsidR="007B1ABC">
        <w:t xml:space="preserve">le positionnement de divers acteurs </w:t>
      </w:r>
      <w:r w:rsidR="003B4C0C">
        <w:t>vis-à-vis d</w:t>
      </w:r>
      <w:r w:rsidR="007B1ABC">
        <w:t xml:space="preserve">e </w:t>
      </w:r>
      <w:r w:rsidR="001D5439">
        <w:t>coopératives d’irrigation</w:t>
      </w:r>
      <w:r w:rsidR="00BF159F">
        <w:t>, existantes ou nouvelles,</w:t>
      </w:r>
      <w:r w:rsidR="007B1ABC">
        <w:t xml:space="preserve"> comme gestionnaires po</w:t>
      </w:r>
      <w:r w:rsidR="00E45051">
        <w:t>tentiels</w:t>
      </w:r>
      <w:r w:rsidR="007B1ABC">
        <w:t xml:space="preserve"> de ces </w:t>
      </w:r>
      <w:r w:rsidR="00E72562">
        <w:t>ouvrages</w:t>
      </w:r>
      <w:r w:rsidR="007B1ABC">
        <w:t xml:space="preserve">. Nous montrerons d’une part </w:t>
      </w:r>
      <w:r w:rsidR="00F44190">
        <w:t xml:space="preserve">comment </w:t>
      </w:r>
      <w:r w:rsidR="002B52B1">
        <w:t xml:space="preserve">l’administration hydraulique turque </w:t>
      </w:r>
      <w:r w:rsidR="00F44190">
        <w:t xml:space="preserve">cherche à mobiliser des acteurs jugés fiables </w:t>
      </w:r>
      <w:r w:rsidR="002B52B1">
        <w:t xml:space="preserve">pour </w:t>
      </w:r>
      <w:r w:rsidR="00E45051">
        <w:t xml:space="preserve">« faire marcher » les </w:t>
      </w:r>
      <w:r w:rsidR="00BF159F">
        <w:t>projets d’irrigation</w:t>
      </w:r>
      <w:r w:rsidR="00E72562">
        <w:t xml:space="preserve"> </w:t>
      </w:r>
      <w:r w:rsidR="00E45051">
        <w:t xml:space="preserve">et </w:t>
      </w:r>
      <w:r w:rsidR="00E72562">
        <w:t xml:space="preserve">leur </w:t>
      </w:r>
      <w:r w:rsidR="00E45051">
        <w:t xml:space="preserve">en </w:t>
      </w:r>
      <w:r w:rsidR="00F44190">
        <w:t xml:space="preserve">transférer au plus vite </w:t>
      </w:r>
      <w:r w:rsidR="002B52B1">
        <w:t>la gestion, et d’autre part les relations de pouvoir entre acteurs locaux</w:t>
      </w:r>
      <w:r w:rsidR="00BF159F">
        <w:t xml:space="preserve"> (et supra-locaux)</w:t>
      </w:r>
      <w:r w:rsidR="002B52B1">
        <w:t xml:space="preserve"> lorsqu’ils tentent d’obtenir la gestion de cette nouvelle ressource.</w:t>
      </w:r>
    </w:p>
    <w:p w14:paraId="3CFF0A93" w14:textId="283A6AC0" w:rsidR="002B52B1" w:rsidRDefault="00312E4C" w:rsidP="00666F74">
      <w:pPr>
        <w:jc w:val="both"/>
        <w:rPr>
          <w:rFonts w:eastAsia="Times New Roman" w:cs="Arial"/>
          <w:b/>
          <w:bCs/>
          <w:caps/>
          <w:color w:val="244061" w:themeColor="accent1" w:themeShade="80"/>
          <w:sz w:val="28"/>
          <w:szCs w:val="24"/>
          <w:lang w:eastAsia="fr-FR"/>
        </w:rPr>
      </w:pPr>
      <w:r w:rsidRPr="00911CDB">
        <w:rPr>
          <w:b/>
          <w:color w:val="244061" w:themeColor="accent1" w:themeShade="80"/>
          <w:sz w:val="28"/>
          <w:szCs w:val="28"/>
        </w:rPr>
        <w:t>M</w:t>
      </w:r>
      <w:r w:rsidR="00BA43D7" w:rsidRPr="00911CDB">
        <w:rPr>
          <w:b/>
          <w:color w:val="244061" w:themeColor="accent1" w:themeShade="80"/>
          <w:sz w:val="28"/>
          <w:szCs w:val="28"/>
        </w:rPr>
        <w:t>ots-</w:t>
      </w:r>
      <w:r w:rsidRPr="00911CDB">
        <w:rPr>
          <w:b/>
          <w:color w:val="244061" w:themeColor="accent1" w:themeShade="80"/>
          <w:sz w:val="28"/>
          <w:szCs w:val="28"/>
        </w:rPr>
        <w:t>C</w:t>
      </w:r>
      <w:r w:rsidR="00BA43D7" w:rsidRPr="00911CDB">
        <w:rPr>
          <w:b/>
          <w:color w:val="244061" w:themeColor="accent1" w:themeShade="80"/>
          <w:sz w:val="28"/>
          <w:szCs w:val="28"/>
        </w:rPr>
        <w:t>lés</w:t>
      </w:r>
      <w:r w:rsidR="002B52B1">
        <w:rPr>
          <w:b/>
          <w:color w:val="244061" w:themeColor="accent1" w:themeShade="80"/>
          <w:sz w:val="28"/>
          <w:szCs w:val="28"/>
        </w:rPr>
        <w:t xml:space="preserve"> : </w:t>
      </w:r>
      <w:r w:rsidR="003248C8">
        <w:t>A</w:t>
      </w:r>
      <w:r w:rsidR="00A12887" w:rsidRPr="003248C8">
        <w:t xml:space="preserve">dministration hydraulique ; </w:t>
      </w:r>
      <w:r w:rsidR="003248C8" w:rsidRPr="003248C8">
        <w:t>barrages ;</w:t>
      </w:r>
      <w:r w:rsidR="003248C8">
        <w:t xml:space="preserve"> c</w:t>
      </w:r>
      <w:r w:rsidR="003248C8" w:rsidRPr="003248C8">
        <w:t xml:space="preserve">oopératives d’irrigation ; </w:t>
      </w:r>
      <w:r w:rsidR="00A12887" w:rsidRPr="003248C8">
        <w:rPr>
          <w:i/>
        </w:rPr>
        <w:t>political ecology of the state</w:t>
      </w:r>
      <w:r w:rsidR="003248C8" w:rsidRPr="003248C8">
        <w:t xml:space="preserve"> ; politique du quotidien.</w:t>
      </w:r>
      <w:r w:rsidR="003248C8">
        <w:t xml:space="preserve"> </w:t>
      </w:r>
      <w:r w:rsidR="002B52B1">
        <w:br w:type="page"/>
      </w:r>
    </w:p>
    <w:p w14:paraId="1F4585B7" w14:textId="77777777" w:rsidR="00DB690C" w:rsidRDefault="00DB690C" w:rsidP="00DB690C">
      <w:pPr>
        <w:pStyle w:val="Titre1"/>
        <w:numPr>
          <w:ilvl w:val="0"/>
          <w:numId w:val="0"/>
        </w:numPr>
        <w:spacing w:before="360"/>
        <w:ind w:left="432" w:hanging="432"/>
      </w:pPr>
      <w:r>
        <w:lastRenderedPageBreak/>
        <w:t xml:space="preserve">Resume Detaille </w:t>
      </w:r>
      <w:r w:rsidRPr="001D4BBD">
        <w:rPr>
          <w:b w:val="0"/>
        </w:rPr>
        <w:t>(4 pages)</w:t>
      </w:r>
    </w:p>
    <w:p w14:paraId="49278EED" w14:textId="77777777" w:rsidR="00652763" w:rsidRPr="00911CDB" w:rsidRDefault="00652763" w:rsidP="003E2D5B">
      <w:pPr>
        <w:pStyle w:val="Titre1"/>
        <w:spacing w:before="120"/>
        <w:ind w:left="431" w:hanging="431"/>
      </w:pPr>
      <w:r>
        <w:t>Introduction</w:t>
      </w:r>
    </w:p>
    <w:p w14:paraId="0DA304F3" w14:textId="5DA8E6D4" w:rsidR="00656378" w:rsidRDefault="007234E8" w:rsidP="0028781C">
      <w:pPr>
        <w:spacing w:before="120"/>
        <w:jc w:val="both"/>
      </w:pPr>
      <w:r>
        <w:t>Beaucoup d’études en sciences sociales sur l’eau en Turquie ont porté sur des projets hydrauliques contestés</w:t>
      </w:r>
      <w:r w:rsidR="00425734">
        <w:t xml:space="preserve"> (</w:t>
      </w:r>
      <w:r w:rsidR="00837739">
        <w:t>GAP</w:t>
      </w:r>
      <w:r w:rsidR="00CE608D">
        <w:t>,</w:t>
      </w:r>
      <w:r w:rsidR="00425734">
        <w:t xml:space="preserve"> microcentrales hydroélectriques</w:t>
      </w:r>
      <w:r w:rsidR="00837739">
        <w:t>…)</w:t>
      </w:r>
      <w:r w:rsidR="00CD4CAA">
        <w:t xml:space="preserve">, </w:t>
      </w:r>
      <w:r w:rsidR="00BF159F">
        <w:t>et insisté</w:t>
      </w:r>
      <w:r w:rsidR="00CD4CAA">
        <w:t xml:space="preserve"> sur l’opposition Etat-société</w:t>
      </w:r>
      <w:r w:rsidR="00837739">
        <w:t>.</w:t>
      </w:r>
      <w:r w:rsidR="00425734">
        <w:t xml:space="preserve"> En contraste, les petits ouvrages hydrauliques </w:t>
      </w:r>
      <w:r w:rsidR="00837739">
        <w:t>non</w:t>
      </w:r>
      <w:r w:rsidR="00425734">
        <w:t xml:space="preserve"> controversé</w:t>
      </w:r>
      <w:r w:rsidR="00837739">
        <w:t xml:space="preserve">s </w:t>
      </w:r>
      <w:r w:rsidR="00D444AC">
        <w:t>n’ont reçu que peu d’attention. C’est le cas d</w:t>
      </w:r>
      <w:r w:rsidR="00A00AC1">
        <w:t>’</w:t>
      </w:r>
      <w:r w:rsidR="00D444AC">
        <w:t>u</w:t>
      </w:r>
      <w:r w:rsidR="00A00AC1">
        <w:t xml:space="preserve">n </w:t>
      </w:r>
      <w:r w:rsidR="00D444AC">
        <w:t xml:space="preserve">programme </w:t>
      </w:r>
      <w:r w:rsidR="00A00AC1">
        <w:t>lancé en 2012 par l’Etat turc visant la construction de</w:t>
      </w:r>
      <w:r w:rsidR="00D444AC">
        <w:t xml:space="preserve"> « 1000 </w:t>
      </w:r>
      <w:r w:rsidR="00D444AC" w:rsidRPr="00464D3F">
        <w:rPr>
          <w:i/>
        </w:rPr>
        <w:t>gölet</w:t>
      </w:r>
      <w:r w:rsidR="00D444AC">
        <w:t xml:space="preserve"> (</w:t>
      </w:r>
      <w:r w:rsidR="00BF159F">
        <w:t>réservoirs</w:t>
      </w:r>
      <w:r w:rsidR="00D444AC">
        <w:t xml:space="preserve"> collinaire</w:t>
      </w:r>
      <w:r w:rsidR="00464D3F">
        <w:t>s</w:t>
      </w:r>
      <w:r w:rsidR="00D444AC">
        <w:t>) en 1000 jours</w:t>
      </w:r>
      <w:r w:rsidR="00A00AC1">
        <w:t> » à travers le pays</w:t>
      </w:r>
      <w:r w:rsidR="00464D3F">
        <w:t xml:space="preserve">, ouvrages destinés à l’irrigation et </w:t>
      </w:r>
      <w:r w:rsidR="00A00AC1">
        <w:t>accepté</w:t>
      </w:r>
      <w:r w:rsidR="00464D3F">
        <w:t>s</w:t>
      </w:r>
      <w:r w:rsidR="00A00AC1">
        <w:t xml:space="preserve"> loc</w:t>
      </w:r>
      <w:r w:rsidR="00464D3F">
        <w:t>a</w:t>
      </w:r>
      <w:r w:rsidR="00A00AC1">
        <w:t>l</w:t>
      </w:r>
      <w:r w:rsidR="00464D3F">
        <w:t>e</w:t>
      </w:r>
      <w:r w:rsidR="00A00AC1">
        <w:t>ment</w:t>
      </w:r>
      <w:r w:rsidR="00464D3F">
        <w:t xml:space="preserve"> par les agriculteurs</w:t>
      </w:r>
      <w:r w:rsidR="00A00AC1">
        <w:t>.</w:t>
      </w:r>
      <w:r w:rsidR="00B57564">
        <w:t xml:space="preserve"> Nous défendons l’idée que </w:t>
      </w:r>
      <w:r w:rsidR="00755CFF">
        <w:t>l’étude de ces objets</w:t>
      </w:r>
      <w:r w:rsidR="00B9797C">
        <w:t xml:space="preserve"> </w:t>
      </w:r>
      <w:r w:rsidR="00B57564">
        <w:t xml:space="preserve">révèle la politique du quotidien </w:t>
      </w:r>
      <w:r w:rsidR="00B9797C">
        <w:t>lors de la mise en œuvre de ces projets au niveau local, dans les villages</w:t>
      </w:r>
      <w:r w:rsidR="001E5824">
        <w:t>.</w:t>
      </w:r>
      <w:r w:rsidR="00560298">
        <w:t xml:space="preserve"> Les </w:t>
      </w:r>
      <w:r w:rsidR="00560298" w:rsidRPr="009B523F">
        <w:rPr>
          <w:i/>
        </w:rPr>
        <w:t>gölet</w:t>
      </w:r>
      <w:r w:rsidR="00560298">
        <w:t xml:space="preserve"> fournissent en effet de riches cas d’études pour </w:t>
      </w:r>
      <w:r w:rsidR="009B523F">
        <w:t xml:space="preserve">observer la construction de l’action publique « par le bas » et </w:t>
      </w:r>
      <w:r w:rsidR="00423987">
        <w:t>l</w:t>
      </w:r>
      <w:r w:rsidR="00417EA6">
        <w:t xml:space="preserve">es relations </w:t>
      </w:r>
      <w:r w:rsidR="00423987">
        <w:t xml:space="preserve">sociales et </w:t>
      </w:r>
      <w:r w:rsidR="00417EA6">
        <w:t>politiques en œuvre lors du façonnage d’inst</w:t>
      </w:r>
      <w:r w:rsidR="00BA0016">
        <w:t xml:space="preserve">itutions de gestion de l’eau. Nous considérons </w:t>
      </w:r>
      <w:r w:rsidR="00423987">
        <w:t>cette</w:t>
      </w:r>
      <w:r w:rsidR="00010F5A">
        <w:t xml:space="preserve"> politique du quotidien comme un processus dynamique avec une interpénétration des sphères administrative, politique et sociale</w:t>
      </w:r>
      <w:r w:rsidR="00E1537B">
        <w:t>,</w:t>
      </w:r>
      <w:r w:rsidR="00010F5A">
        <w:t xml:space="preserve"> et</w:t>
      </w:r>
      <w:r w:rsidR="00E1537B">
        <w:t xml:space="preserve"> les négociations autour de la gestion des ressources comme des opportunités de contact multipliées entre les sphères publique, privée et communautaire.</w:t>
      </w:r>
      <w:r w:rsidR="00B56080">
        <w:t xml:space="preserve"> Pour illustrer cela, nous</w:t>
      </w:r>
      <w:r w:rsidR="003755BD">
        <w:t xml:space="preserve"> </w:t>
      </w:r>
      <w:r w:rsidR="00FC59B7">
        <w:t>étudierons</w:t>
      </w:r>
      <w:r w:rsidR="003755BD">
        <w:t xml:space="preserve"> </w:t>
      </w:r>
      <w:r w:rsidR="00F63E07">
        <w:t xml:space="preserve">d’une part </w:t>
      </w:r>
      <w:r w:rsidR="003755BD">
        <w:t xml:space="preserve">la mobilisation </w:t>
      </w:r>
      <w:r w:rsidR="001D4BBD">
        <w:t xml:space="preserve">de coopératives d’irrigation </w:t>
      </w:r>
      <w:r w:rsidR="003755BD">
        <w:t>par l’administration hydraulique</w:t>
      </w:r>
      <w:r w:rsidR="00FF4958">
        <w:t xml:space="preserve"> turque</w:t>
      </w:r>
      <w:r w:rsidR="003755BD">
        <w:t xml:space="preserve"> (le DSI) </w:t>
      </w:r>
      <w:r w:rsidR="00BA495D">
        <w:t>pour la gestion de ces nouveaux ouvrages</w:t>
      </w:r>
      <w:r w:rsidR="00F63E07">
        <w:t>, et</w:t>
      </w:r>
      <w:r w:rsidR="00A66ED9">
        <w:t xml:space="preserve"> d’autre part </w:t>
      </w:r>
      <w:r w:rsidR="00652763">
        <w:t>l</w:t>
      </w:r>
      <w:r w:rsidR="000F6BBB">
        <w:t>es relations de pouvoir entre acteurs locaux lorsqu’ils tentent d’obtenir la gestion de cette nouvelle ressource.</w:t>
      </w:r>
    </w:p>
    <w:p w14:paraId="42019281" w14:textId="77777777" w:rsidR="00F73FBD" w:rsidRPr="00911CDB" w:rsidRDefault="00652763" w:rsidP="00D43DEC">
      <w:pPr>
        <w:pStyle w:val="Titre1"/>
        <w:spacing w:before="360"/>
        <w:ind w:left="431" w:hanging="431"/>
      </w:pPr>
      <w:r>
        <w:t>Approche de recherche</w:t>
      </w:r>
    </w:p>
    <w:p w14:paraId="515E297E" w14:textId="77777777" w:rsidR="0028781C" w:rsidRPr="00026C26" w:rsidRDefault="00EB2823" w:rsidP="0028781C">
      <w:pPr>
        <w:pStyle w:val="Titre2"/>
        <w:spacing w:after="120"/>
        <w:rPr>
          <w:lang w:val="en-GB"/>
        </w:rPr>
      </w:pPr>
      <w:r w:rsidRPr="00026C26">
        <w:rPr>
          <w:i/>
          <w:lang w:val="en-GB"/>
        </w:rPr>
        <w:t>Political ecology</w:t>
      </w:r>
      <w:r w:rsidR="00026C26" w:rsidRPr="00026C26">
        <w:rPr>
          <w:i/>
          <w:lang w:val="en-GB"/>
        </w:rPr>
        <w:t xml:space="preserve"> of the state</w:t>
      </w:r>
      <w:r w:rsidR="008E7E77" w:rsidRPr="00026C26">
        <w:rPr>
          <w:lang w:val="en-GB"/>
        </w:rPr>
        <w:t xml:space="preserve">, </w:t>
      </w:r>
      <w:r w:rsidR="00026C26" w:rsidRPr="00026C26">
        <w:rPr>
          <w:lang w:val="en-GB"/>
        </w:rPr>
        <w:t>institutions</w:t>
      </w:r>
      <w:r w:rsidR="008E7E77" w:rsidRPr="00026C26">
        <w:rPr>
          <w:lang w:val="en-GB"/>
        </w:rPr>
        <w:t xml:space="preserve"> </w:t>
      </w:r>
      <w:r w:rsidR="00D15289" w:rsidRPr="00026C26">
        <w:rPr>
          <w:lang w:val="en-GB"/>
        </w:rPr>
        <w:t>et territorialisation</w:t>
      </w:r>
    </w:p>
    <w:p w14:paraId="246A9D51" w14:textId="55F1BABC" w:rsidR="00F73FBD" w:rsidRDefault="006D5965" w:rsidP="00971D06">
      <w:pPr>
        <w:jc w:val="both"/>
      </w:pPr>
      <w:r>
        <w:t xml:space="preserve">Les appuis théoriques </w:t>
      </w:r>
      <w:r w:rsidR="00F63E07">
        <w:t>de</w:t>
      </w:r>
      <w:r>
        <w:t xml:space="preserve"> cette recherche allient</w:t>
      </w:r>
      <w:r w:rsidR="009710C7">
        <w:t xml:space="preserve"> </w:t>
      </w:r>
      <w:r w:rsidR="00DB2FF0">
        <w:t xml:space="preserve">1) </w:t>
      </w:r>
      <w:r w:rsidR="00F63E07">
        <w:t>d</w:t>
      </w:r>
      <w:r w:rsidR="009710C7">
        <w:t xml:space="preserve">es études turques </w:t>
      </w:r>
      <w:r w:rsidR="001D4BBD">
        <w:t xml:space="preserve">qui questionnent la thèse courante de la </w:t>
      </w:r>
      <w:r w:rsidR="00971D06">
        <w:t>domination de l’Etat turc sur la société</w:t>
      </w:r>
      <w:r w:rsidR="001D4BBD">
        <w:t>,</w:t>
      </w:r>
      <w:r w:rsidR="00971D06">
        <w:t xml:space="preserve"> </w:t>
      </w:r>
      <w:r w:rsidR="001D4BBD">
        <w:t>et proposent</w:t>
      </w:r>
      <w:r w:rsidR="005E1FAC">
        <w:t xml:space="preserve"> </w:t>
      </w:r>
      <w:r w:rsidR="001D4BBD">
        <w:t xml:space="preserve">plutôt </w:t>
      </w:r>
      <w:r w:rsidR="005E1FAC">
        <w:t>d’étudier la coproduction de l’action publique à travers les transactions</w:t>
      </w:r>
      <w:r w:rsidR="00DB2FF0">
        <w:t xml:space="preserve"> et arrangements</w:t>
      </w:r>
      <w:r w:rsidR="001D4BBD">
        <w:t xml:space="preserve"> entre ordres étatique et social</w:t>
      </w:r>
      <w:r w:rsidR="00DB2FF0">
        <w:t xml:space="preserve">, et 2) </w:t>
      </w:r>
      <w:r w:rsidR="00317560">
        <w:t>celles</w:t>
      </w:r>
      <w:r w:rsidR="00A671F5">
        <w:t xml:space="preserve"> </w:t>
      </w:r>
      <w:r w:rsidR="00FF726C">
        <w:t>abordant</w:t>
      </w:r>
      <w:r w:rsidR="00A671F5">
        <w:t xml:space="preserve"> plus spécifiquement la question</w:t>
      </w:r>
      <w:r w:rsidR="00317560">
        <w:t xml:space="preserve"> </w:t>
      </w:r>
      <w:r w:rsidR="00A671F5">
        <w:t xml:space="preserve">de </w:t>
      </w:r>
      <w:r w:rsidR="00317560">
        <w:t>l’aménagement hydrauliques et l’irrigation.</w:t>
      </w:r>
      <w:r w:rsidR="00281469">
        <w:t xml:space="preserve"> </w:t>
      </w:r>
      <w:r w:rsidR="00317560">
        <w:t xml:space="preserve">Parmi ces dernières, nous </w:t>
      </w:r>
      <w:r w:rsidR="00EE7219">
        <w:t>nous appu</w:t>
      </w:r>
      <w:r w:rsidR="001D4BBD">
        <w:t>y</w:t>
      </w:r>
      <w:r w:rsidR="00EE7219">
        <w:t xml:space="preserve">ons sur </w:t>
      </w:r>
      <w:r w:rsidR="002542BD">
        <w:t xml:space="preserve">i) </w:t>
      </w:r>
      <w:r w:rsidR="00FF726C">
        <w:t>la recherche émergente en</w:t>
      </w:r>
      <w:r w:rsidR="00EE7219">
        <w:t xml:space="preserve"> </w:t>
      </w:r>
      <w:r w:rsidR="0040594D">
        <w:t>« </w:t>
      </w:r>
      <w:r w:rsidR="0040594D" w:rsidRPr="0040594D">
        <w:rPr>
          <w:i/>
        </w:rPr>
        <w:t>political ecolog</w:t>
      </w:r>
      <w:r w:rsidR="00EE7219">
        <w:rPr>
          <w:i/>
        </w:rPr>
        <w:t xml:space="preserve">y </w:t>
      </w:r>
      <w:r w:rsidR="0040594D" w:rsidRPr="0040594D">
        <w:rPr>
          <w:i/>
        </w:rPr>
        <w:t>of the state </w:t>
      </w:r>
      <w:r w:rsidR="0040594D">
        <w:t xml:space="preserve">» avec un rapprochement entre </w:t>
      </w:r>
      <w:r w:rsidR="0040594D" w:rsidRPr="0040594D">
        <w:rPr>
          <w:i/>
        </w:rPr>
        <w:t>political ecology</w:t>
      </w:r>
      <w:r w:rsidR="0040594D">
        <w:t xml:space="preserve"> et géographie politique</w:t>
      </w:r>
      <w:r w:rsidR="00EE7219">
        <w:t xml:space="preserve"> (</w:t>
      </w:r>
      <w:r w:rsidR="00DE2E40">
        <w:t>notamment avec les travaux de Leila Harris en Turquie</w:t>
      </w:r>
      <w:r w:rsidR="00EE7219">
        <w:t>)</w:t>
      </w:r>
      <w:r w:rsidR="00D87E38">
        <w:t>,</w:t>
      </w:r>
      <w:r w:rsidR="00382892">
        <w:t xml:space="preserve"> </w:t>
      </w:r>
      <w:r w:rsidR="002542BD">
        <w:t xml:space="preserve">ii) </w:t>
      </w:r>
      <w:r w:rsidR="000763DA">
        <w:t>l</w:t>
      </w:r>
      <w:r w:rsidR="00382892">
        <w:t xml:space="preserve">es </w:t>
      </w:r>
      <w:r w:rsidR="00D87E38">
        <w:t>écrits</w:t>
      </w:r>
      <w:r w:rsidR="00382892">
        <w:t xml:space="preserve"> de </w:t>
      </w:r>
      <w:r w:rsidR="00D87E38">
        <w:t xml:space="preserve">F. </w:t>
      </w:r>
      <w:r w:rsidR="00382892">
        <w:t>Cleave</w:t>
      </w:r>
      <w:r w:rsidR="00D95F45">
        <w:t xml:space="preserve">r </w:t>
      </w:r>
      <w:r w:rsidR="00F33663">
        <w:t xml:space="preserve">et de </w:t>
      </w:r>
      <w:r w:rsidR="00D87E38">
        <w:t xml:space="preserve">D. </w:t>
      </w:r>
      <w:r w:rsidR="00F33663">
        <w:t xml:space="preserve">Mosse </w:t>
      </w:r>
      <w:r w:rsidR="00D87E38">
        <w:t>qui resitue</w:t>
      </w:r>
      <w:r w:rsidR="00A26E34">
        <w:t>nt</w:t>
      </w:r>
      <w:r w:rsidR="00D95F45">
        <w:t xml:space="preserve"> les arrangements locaux autour de la gestion </w:t>
      </w:r>
      <w:r w:rsidR="00A26E34">
        <w:t>de l’eau</w:t>
      </w:r>
      <w:r w:rsidR="00D95F45">
        <w:t xml:space="preserve"> dans des cadres </w:t>
      </w:r>
      <w:r w:rsidR="00F33663">
        <w:t xml:space="preserve">politiques </w:t>
      </w:r>
      <w:r w:rsidR="00D95F45">
        <w:t>dépassant l’échelle locale</w:t>
      </w:r>
      <w:r w:rsidR="000763DA">
        <w:t xml:space="preserve">, et </w:t>
      </w:r>
      <w:r w:rsidR="002542BD">
        <w:t xml:space="preserve">iii) </w:t>
      </w:r>
      <w:r w:rsidR="00D87E38">
        <w:t>l</w:t>
      </w:r>
      <w:r w:rsidR="000763DA">
        <w:t>es études sur le territoire</w:t>
      </w:r>
      <w:r w:rsidR="007D77FE">
        <w:t>,</w:t>
      </w:r>
      <w:r w:rsidR="00D87E38">
        <w:t xml:space="preserve"> au sens de P. Caron, </w:t>
      </w:r>
      <w:r w:rsidR="00E00153">
        <w:t>comme espace de négociation entre action collective et publique, entre dynamiques de développement local et politiques publiques</w:t>
      </w:r>
      <w:r w:rsidR="002975E5">
        <w:t>.</w:t>
      </w:r>
      <w:r w:rsidR="00317560">
        <w:t xml:space="preserve"> </w:t>
      </w:r>
    </w:p>
    <w:p w14:paraId="2921FE66" w14:textId="77777777" w:rsidR="0028781C" w:rsidRDefault="00511E19" w:rsidP="003408FE">
      <w:pPr>
        <w:pStyle w:val="Titre2"/>
        <w:spacing w:after="120"/>
        <w:ind w:left="1134" w:hanging="708"/>
      </w:pPr>
      <w:r w:rsidRPr="00511E19">
        <w:t>Coopératives d’irrigation et choix des cas d’étude</w:t>
      </w:r>
    </w:p>
    <w:p w14:paraId="18295DF5" w14:textId="357C1A66" w:rsidR="002B3E82" w:rsidRDefault="00B04D0C" w:rsidP="00F46808">
      <w:pPr>
        <w:spacing w:after="0"/>
        <w:jc w:val="both"/>
        <w:rPr>
          <w:lang w:eastAsia="fr-FR"/>
        </w:rPr>
      </w:pPr>
      <w:r>
        <w:rPr>
          <w:lang w:eastAsia="fr-FR"/>
        </w:rPr>
        <w:t xml:space="preserve">Nous avons adopté une démarche empirique </w:t>
      </w:r>
      <w:r w:rsidR="006E7189">
        <w:rPr>
          <w:lang w:eastAsia="fr-FR"/>
        </w:rPr>
        <w:t xml:space="preserve">avec les coopératives d’irrigation comme point d’entrée pour étudier l’implication, directe ou non, d’acteurs variés dans le façonnage d’institutions locales pour la gestion des </w:t>
      </w:r>
      <w:r w:rsidR="006E7189" w:rsidRPr="00281469">
        <w:rPr>
          <w:i/>
          <w:lang w:eastAsia="fr-FR"/>
        </w:rPr>
        <w:t>gölet</w:t>
      </w:r>
      <w:r w:rsidR="006E7189">
        <w:rPr>
          <w:lang w:eastAsia="fr-FR"/>
        </w:rPr>
        <w:t xml:space="preserve">. </w:t>
      </w:r>
      <w:r w:rsidR="00D87E38">
        <w:rPr>
          <w:lang w:eastAsia="fr-FR"/>
        </w:rPr>
        <w:t>L</w:t>
      </w:r>
      <w:r w:rsidR="006D38E5">
        <w:rPr>
          <w:lang w:eastAsia="fr-FR"/>
        </w:rPr>
        <w:t>’histoire d</w:t>
      </w:r>
      <w:r w:rsidR="00D750D7">
        <w:rPr>
          <w:lang w:eastAsia="fr-FR"/>
        </w:rPr>
        <w:t xml:space="preserve">es </w:t>
      </w:r>
      <w:r w:rsidR="00D750D7">
        <w:rPr>
          <w:lang w:eastAsia="fr-FR"/>
        </w:rPr>
        <w:lastRenderedPageBreak/>
        <w:t xml:space="preserve">politiques de l’eau </w:t>
      </w:r>
      <w:r w:rsidR="00D87E38">
        <w:rPr>
          <w:lang w:eastAsia="fr-FR"/>
        </w:rPr>
        <w:t xml:space="preserve">en Turquie </w:t>
      </w:r>
      <w:r w:rsidR="004E33CC">
        <w:rPr>
          <w:lang w:eastAsia="fr-FR"/>
        </w:rPr>
        <w:t>montre</w:t>
      </w:r>
      <w:r w:rsidR="00D750D7">
        <w:rPr>
          <w:lang w:eastAsia="fr-FR"/>
        </w:rPr>
        <w:t xml:space="preserve"> qu</w:t>
      </w:r>
      <w:r w:rsidR="00D87E38">
        <w:rPr>
          <w:lang w:eastAsia="fr-FR"/>
        </w:rPr>
        <w:t xml:space="preserve">e ces coopératives </w:t>
      </w:r>
      <w:r w:rsidR="00D750D7">
        <w:rPr>
          <w:lang w:eastAsia="fr-FR"/>
        </w:rPr>
        <w:t xml:space="preserve">sont implantées de longue date à l’échelon local et peuvent servir </w:t>
      </w:r>
      <w:r w:rsidR="002248B4">
        <w:rPr>
          <w:lang w:eastAsia="fr-FR"/>
        </w:rPr>
        <w:t xml:space="preserve">d’intermédiaires entre les communautés d’agriculteurs et </w:t>
      </w:r>
      <w:r w:rsidR="008401E8">
        <w:rPr>
          <w:lang w:eastAsia="fr-FR"/>
        </w:rPr>
        <w:t>d’autres</w:t>
      </w:r>
      <w:r w:rsidR="002248B4">
        <w:rPr>
          <w:lang w:eastAsia="fr-FR"/>
        </w:rPr>
        <w:t xml:space="preserve"> acteurs hors du village (représentants d</w:t>
      </w:r>
      <w:r w:rsidR="00D87E38">
        <w:rPr>
          <w:lang w:eastAsia="fr-FR"/>
        </w:rPr>
        <w:t>’administrations étatiques,</w:t>
      </w:r>
      <w:r w:rsidR="002248B4">
        <w:rPr>
          <w:lang w:eastAsia="fr-FR"/>
        </w:rPr>
        <w:t xml:space="preserve"> municipalités, entreprises privées…)</w:t>
      </w:r>
      <w:r w:rsidR="00497D6C">
        <w:rPr>
          <w:lang w:eastAsia="fr-FR"/>
        </w:rPr>
        <w:t>.</w:t>
      </w:r>
      <w:r w:rsidR="00CC3142">
        <w:rPr>
          <w:lang w:eastAsia="fr-FR"/>
        </w:rPr>
        <w:t xml:space="preserve"> </w:t>
      </w:r>
      <w:r w:rsidR="00D87E38">
        <w:rPr>
          <w:lang w:eastAsia="fr-FR"/>
        </w:rPr>
        <w:t>Nous</w:t>
      </w:r>
      <w:r w:rsidR="004E33CC">
        <w:rPr>
          <w:lang w:eastAsia="fr-FR"/>
        </w:rPr>
        <w:t xml:space="preserve"> </w:t>
      </w:r>
      <w:r w:rsidR="00D87E38">
        <w:rPr>
          <w:lang w:eastAsia="fr-FR"/>
        </w:rPr>
        <w:t xml:space="preserve">avons </w:t>
      </w:r>
      <w:r w:rsidR="004E33CC">
        <w:rPr>
          <w:lang w:eastAsia="fr-FR"/>
        </w:rPr>
        <w:t>regard</w:t>
      </w:r>
      <w:r w:rsidR="00D87E38">
        <w:rPr>
          <w:lang w:eastAsia="fr-FR"/>
        </w:rPr>
        <w:t>é</w:t>
      </w:r>
      <w:r w:rsidR="007F25C3">
        <w:rPr>
          <w:lang w:eastAsia="fr-FR"/>
        </w:rPr>
        <w:t xml:space="preserve"> quels acteurs favorisent</w:t>
      </w:r>
      <w:r w:rsidR="008401E8">
        <w:rPr>
          <w:lang w:eastAsia="fr-FR"/>
        </w:rPr>
        <w:t xml:space="preserve"> </w:t>
      </w:r>
      <w:r w:rsidR="007F25C3">
        <w:rPr>
          <w:lang w:eastAsia="fr-FR"/>
        </w:rPr>
        <w:t xml:space="preserve">le choix de ces coopératives </w:t>
      </w:r>
      <w:r w:rsidR="00D87E38">
        <w:rPr>
          <w:lang w:eastAsia="fr-FR"/>
        </w:rPr>
        <w:t xml:space="preserve">pour la gestion des </w:t>
      </w:r>
      <w:r w:rsidR="00D87E38" w:rsidRPr="00D87E38">
        <w:rPr>
          <w:i/>
          <w:lang w:eastAsia="fr-FR"/>
        </w:rPr>
        <w:t>gölet</w:t>
      </w:r>
      <w:r w:rsidR="00D87E38">
        <w:rPr>
          <w:lang w:eastAsia="fr-FR"/>
        </w:rPr>
        <w:t>, leurs motivations, et</w:t>
      </w:r>
      <w:r w:rsidR="007F25C3">
        <w:rPr>
          <w:lang w:eastAsia="fr-FR"/>
        </w:rPr>
        <w:t xml:space="preserve"> la manière dont ils utilisent </w:t>
      </w:r>
      <w:r w:rsidR="00A036DE">
        <w:rPr>
          <w:lang w:eastAsia="fr-FR"/>
        </w:rPr>
        <w:t>(</w:t>
      </w:r>
      <w:r w:rsidR="007F25C3">
        <w:rPr>
          <w:lang w:eastAsia="fr-FR"/>
        </w:rPr>
        <w:t>ou sont contraints par</w:t>
      </w:r>
      <w:r w:rsidR="00A036DE">
        <w:rPr>
          <w:lang w:eastAsia="fr-FR"/>
        </w:rPr>
        <w:t>)</w:t>
      </w:r>
      <w:r w:rsidR="007F25C3">
        <w:rPr>
          <w:lang w:eastAsia="fr-FR"/>
        </w:rPr>
        <w:t xml:space="preserve"> des relations supra-loca</w:t>
      </w:r>
      <w:r w:rsidR="00D87E38">
        <w:rPr>
          <w:lang w:eastAsia="fr-FR"/>
        </w:rPr>
        <w:t>les durant ces négociations</w:t>
      </w:r>
      <w:r w:rsidR="002B3E82">
        <w:rPr>
          <w:lang w:eastAsia="fr-FR"/>
        </w:rPr>
        <w:t>.</w:t>
      </w:r>
      <w:r w:rsidR="006D38E5">
        <w:rPr>
          <w:lang w:eastAsia="fr-FR"/>
        </w:rPr>
        <w:t xml:space="preserve"> </w:t>
      </w:r>
      <w:r w:rsidR="00D87E38">
        <w:rPr>
          <w:lang w:eastAsia="fr-FR"/>
        </w:rPr>
        <w:t>L</w:t>
      </w:r>
      <w:r w:rsidR="004E33CC">
        <w:rPr>
          <w:lang w:eastAsia="fr-FR"/>
        </w:rPr>
        <w:t xml:space="preserve">es cas d’études </w:t>
      </w:r>
      <w:r w:rsidR="00D87E38">
        <w:rPr>
          <w:lang w:eastAsia="fr-FR"/>
        </w:rPr>
        <w:t xml:space="preserve">ont été </w:t>
      </w:r>
      <w:r w:rsidR="0044492C">
        <w:rPr>
          <w:lang w:eastAsia="fr-FR"/>
        </w:rPr>
        <w:t>choisis</w:t>
      </w:r>
      <w:r w:rsidR="006B17C0">
        <w:rPr>
          <w:lang w:eastAsia="fr-FR"/>
        </w:rPr>
        <w:t xml:space="preserve"> dans la région d’Izmir</w:t>
      </w:r>
      <w:r w:rsidR="00D87E38">
        <w:rPr>
          <w:lang w:eastAsia="fr-FR"/>
        </w:rPr>
        <w:t xml:space="preserve"> en fonction de</w:t>
      </w:r>
      <w:r w:rsidR="0044492C">
        <w:rPr>
          <w:lang w:eastAsia="fr-FR"/>
        </w:rPr>
        <w:t xml:space="preserve"> différentes configurations de gestion des </w:t>
      </w:r>
      <w:r w:rsidR="0044492C" w:rsidRPr="00726BF8">
        <w:rPr>
          <w:i/>
          <w:lang w:eastAsia="fr-FR"/>
        </w:rPr>
        <w:t>gölet</w:t>
      </w:r>
      <w:r w:rsidR="0044492C">
        <w:rPr>
          <w:lang w:eastAsia="fr-FR"/>
        </w:rPr>
        <w:t xml:space="preserve"> par les coopératives d’irrigation (</w:t>
      </w:r>
      <w:r w:rsidR="00E51CF7">
        <w:rPr>
          <w:lang w:eastAsia="fr-FR"/>
        </w:rPr>
        <w:t xml:space="preserve">dites « IC » dans la </w:t>
      </w:r>
      <w:r w:rsidR="00F46808">
        <w:rPr>
          <w:lang w:eastAsia="fr-FR"/>
        </w:rPr>
        <w:t>figure 1) et d</w:t>
      </w:r>
      <w:r w:rsidR="0044492C">
        <w:rPr>
          <w:lang w:eastAsia="fr-FR"/>
        </w:rPr>
        <w:t>es enjeux</w:t>
      </w:r>
      <w:r w:rsidR="00726BF8">
        <w:rPr>
          <w:lang w:eastAsia="fr-FR"/>
        </w:rPr>
        <w:t xml:space="preserve"> soulevés en termes de conditions de transfert (tableau 1). </w:t>
      </w:r>
    </w:p>
    <w:p w14:paraId="06063DC0" w14:textId="3499E352" w:rsidR="00A55325" w:rsidRDefault="00F46808" w:rsidP="00DC6BF0">
      <w:pPr>
        <w:spacing w:after="0"/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20E26CFF" wp14:editId="75BA05C2">
            <wp:extent cx="5238750" cy="1879669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404" cy="1898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B95A3" w14:textId="77777777" w:rsidR="00A55325" w:rsidRDefault="00A55325" w:rsidP="00A55325">
      <w:pPr>
        <w:jc w:val="center"/>
        <w:rPr>
          <w:lang w:eastAsia="fr-FR"/>
        </w:rPr>
      </w:pPr>
      <w:r>
        <w:rPr>
          <w:lang w:eastAsia="fr-FR"/>
        </w:rPr>
        <w:t>Figure 1. Villages étudiés</w:t>
      </w:r>
      <w:r w:rsidR="005A6820">
        <w:rPr>
          <w:lang w:eastAsia="fr-FR"/>
        </w:rPr>
        <w:t xml:space="preserve"> avec des </w:t>
      </w:r>
      <w:r w:rsidR="005A6820" w:rsidRPr="005A6820">
        <w:rPr>
          <w:i/>
          <w:lang w:eastAsia="fr-FR"/>
        </w:rPr>
        <w:t>gölet</w:t>
      </w:r>
      <w:r w:rsidR="005A6820">
        <w:rPr>
          <w:lang w:eastAsia="fr-FR"/>
        </w:rPr>
        <w:t xml:space="preserve"> construits dans le cadre du programme national </w:t>
      </w:r>
      <w:r w:rsidR="00DC6BF0">
        <w:rPr>
          <w:lang w:eastAsia="fr-FR"/>
        </w:rPr>
        <w:t xml:space="preserve">« 1000 </w:t>
      </w:r>
      <w:r w:rsidR="00DC6BF0" w:rsidRPr="00DC6BF0">
        <w:rPr>
          <w:i/>
          <w:lang w:eastAsia="fr-FR"/>
        </w:rPr>
        <w:t>gölet</w:t>
      </w:r>
      <w:r w:rsidR="00DC6BF0">
        <w:rPr>
          <w:lang w:eastAsia="fr-FR"/>
        </w:rPr>
        <w:t xml:space="preserve"> en 1000 jours » (situation de transfert de 2017).</w:t>
      </w:r>
    </w:p>
    <w:p w14:paraId="78287277" w14:textId="77777777" w:rsidR="00DC6BF0" w:rsidRDefault="00DC6BF0" w:rsidP="002C6217">
      <w:pPr>
        <w:spacing w:after="120"/>
        <w:jc w:val="center"/>
        <w:rPr>
          <w:lang w:eastAsia="fr-FR"/>
        </w:rPr>
      </w:pPr>
      <w:r>
        <w:rPr>
          <w:lang w:eastAsia="fr-FR"/>
        </w:rPr>
        <w:t>Table</w:t>
      </w:r>
      <w:r w:rsidR="00E51CF7">
        <w:rPr>
          <w:lang w:eastAsia="fr-FR"/>
        </w:rPr>
        <w:t>au</w:t>
      </w:r>
      <w:r>
        <w:rPr>
          <w:lang w:eastAsia="fr-FR"/>
        </w:rPr>
        <w:t xml:space="preserve"> 1. </w:t>
      </w:r>
      <w:r w:rsidR="00E51CF7">
        <w:rPr>
          <w:lang w:eastAsia="fr-FR"/>
        </w:rPr>
        <w:t>Enjeux soulevés dans les configurations coopératives/</w:t>
      </w:r>
      <w:r w:rsidR="00E51CF7" w:rsidRPr="00E51CF7">
        <w:rPr>
          <w:i/>
          <w:lang w:eastAsia="fr-FR"/>
        </w:rPr>
        <w:t>gölet</w:t>
      </w:r>
    </w:p>
    <w:tbl>
      <w:tblPr>
        <w:tblStyle w:val="Grilledutableau"/>
        <w:tblW w:w="8798" w:type="dxa"/>
        <w:jc w:val="center"/>
        <w:tblLook w:val="04A0" w:firstRow="1" w:lastRow="0" w:firstColumn="1" w:lastColumn="0" w:noHBand="0" w:noVBand="1"/>
      </w:tblPr>
      <w:tblGrid>
        <w:gridCol w:w="2776"/>
        <w:gridCol w:w="3978"/>
        <w:gridCol w:w="2044"/>
      </w:tblGrid>
      <w:tr w:rsidR="00E51CF7" w:rsidRPr="002C6217" w14:paraId="5B8A3E4F" w14:textId="77777777" w:rsidTr="0079311B">
        <w:trPr>
          <w:jc w:val="center"/>
        </w:trPr>
        <w:tc>
          <w:tcPr>
            <w:tcW w:w="2840" w:type="dxa"/>
          </w:tcPr>
          <w:p w14:paraId="42BC40C8" w14:textId="77777777" w:rsidR="00E51CF7" w:rsidRPr="002C6217" w:rsidRDefault="0034411E" w:rsidP="003408FE">
            <w:pPr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2C6217">
              <w:rPr>
                <w:rFonts w:cs="Times New Roman"/>
                <w:b/>
                <w:sz w:val="20"/>
                <w:lang w:val="en-GB"/>
              </w:rPr>
              <w:t>Configuration locale</w:t>
            </w:r>
          </w:p>
        </w:tc>
        <w:tc>
          <w:tcPr>
            <w:tcW w:w="4101" w:type="dxa"/>
          </w:tcPr>
          <w:p w14:paraId="4B0E14BE" w14:textId="77777777" w:rsidR="00E51CF7" w:rsidRPr="002C6217" w:rsidRDefault="0034411E" w:rsidP="003408FE">
            <w:pPr>
              <w:jc w:val="center"/>
              <w:rPr>
                <w:rFonts w:cs="Times New Roman"/>
                <w:b/>
                <w:sz w:val="20"/>
              </w:rPr>
            </w:pPr>
            <w:r w:rsidRPr="002C6217">
              <w:rPr>
                <w:rFonts w:cs="Times New Roman"/>
                <w:b/>
                <w:sz w:val="20"/>
              </w:rPr>
              <w:t xml:space="preserve">Enjeux </w:t>
            </w:r>
            <w:r w:rsidR="00E51CF7" w:rsidRPr="002C6217">
              <w:rPr>
                <w:rFonts w:cs="Times New Roman"/>
                <w:b/>
                <w:sz w:val="20"/>
              </w:rPr>
              <w:t xml:space="preserve">: </w:t>
            </w:r>
            <w:r w:rsidRPr="002C6217">
              <w:rPr>
                <w:rFonts w:cs="Times New Roman"/>
                <w:b/>
                <w:sz w:val="20"/>
              </w:rPr>
              <w:t>intérêts des acteurs</w:t>
            </w:r>
            <w:r w:rsidR="00E51CF7" w:rsidRPr="002C6217">
              <w:rPr>
                <w:rFonts w:cs="Times New Roman"/>
                <w:b/>
                <w:sz w:val="20"/>
              </w:rPr>
              <w:t>, coalitions</w:t>
            </w:r>
          </w:p>
        </w:tc>
        <w:tc>
          <w:tcPr>
            <w:tcW w:w="1857" w:type="dxa"/>
          </w:tcPr>
          <w:p w14:paraId="763E9FED" w14:textId="77777777" w:rsidR="00E51CF7" w:rsidRPr="002C6217" w:rsidRDefault="0034411E" w:rsidP="003408FE">
            <w:pPr>
              <w:jc w:val="center"/>
              <w:rPr>
                <w:rFonts w:cs="Times New Roman"/>
                <w:b/>
                <w:sz w:val="20"/>
                <w:lang w:val="en-GB"/>
              </w:rPr>
            </w:pPr>
            <w:r w:rsidRPr="002C6217">
              <w:rPr>
                <w:rFonts w:cs="Times New Roman"/>
                <w:b/>
                <w:sz w:val="20"/>
                <w:lang w:val="en-GB"/>
              </w:rPr>
              <w:t xml:space="preserve">Etudes de </w:t>
            </w:r>
            <w:r w:rsidRPr="002C6217">
              <w:rPr>
                <w:rFonts w:cs="Times New Roman"/>
                <w:b/>
                <w:sz w:val="20"/>
              </w:rPr>
              <w:t>cas</w:t>
            </w:r>
          </w:p>
        </w:tc>
      </w:tr>
      <w:tr w:rsidR="00E51CF7" w:rsidRPr="002C6217" w14:paraId="2EEFDB7C" w14:textId="77777777" w:rsidTr="0079311B">
        <w:trPr>
          <w:jc w:val="center"/>
        </w:trPr>
        <w:tc>
          <w:tcPr>
            <w:tcW w:w="2840" w:type="dxa"/>
            <w:vMerge w:val="restart"/>
          </w:tcPr>
          <w:p w14:paraId="6185363D" w14:textId="77777777" w:rsidR="00E51CF7" w:rsidRPr="002C6217" w:rsidRDefault="0034411E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 xml:space="preserve">Coopérative d’irrigation déjà existante et active dans le village avant l’arrivée du </w:t>
            </w:r>
            <w:r w:rsidRPr="002C6217">
              <w:rPr>
                <w:rFonts w:cs="Times New Roman"/>
                <w:i/>
                <w:sz w:val="20"/>
              </w:rPr>
              <w:t>gölet</w:t>
            </w:r>
          </w:p>
        </w:tc>
        <w:tc>
          <w:tcPr>
            <w:tcW w:w="4101" w:type="dxa"/>
            <w:vMerge w:val="restart"/>
          </w:tcPr>
          <w:p w14:paraId="4E7E9E52" w14:textId="77777777" w:rsidR="00E51CF7" w:rsidRPr="002C6217" w:rsidRDefault="00DC2FE0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 xml:space="preserve">Transfert de gestion du </w:t>
            </w:r>
            <w:r w:rsidRPr="002C6217">
              <w:rPr>
                <w:rFonts w:cs="Times New Roman"/>
                <w:i/>
                <w:sz w:val="20"/>
              </w:rPr>
              <w:t>g</w:t>
            </w:r>
            <w:r w:rsidR="00E51CF7" w:rsidRPr="002C6217">
              <w:rPr>
                <w:rFonts w:cs="Times New Roman"/>
                <w:i/>
                <w:sz w:val="20"/>
              </w:rPr>
              <w:t>ölet</w:t>
            </w:r>
            <w:r w:rsidR="00E51CF7" w:rsidRPr="002C6217">
              <w:rPr>
                <w:rFonts w:cs="Times New Roman"/>
                <w:sz w:val="20"/>
              </w:rPr>
              <w:t xml:space="preserve"> </w:t>
            </w:r>
            <w:r w:rsidRPr="002C6217">
              <w:rPr>
                <w:rFonts w:cs="Times New Roman"/>
                <w:sz w:val="20"/>
              </w:rPr>
              <w:t xml:space="preserve">à la coopérative existante ou à une autre entité </w:t>
            </w:r>
            <w:r w:rsidR="00E51CF7" w:rsidRPr="002C6217">
              <w:rPr>
                <w:rFonts w:cs="Times New Roman"/>
                <w:sz w:val="20"/>
              </w:rPr>
              <w:t xml:space="preserve">: </w:t>
            </w:r>
            <w:r w:rsidRPr="002C6217">
              <w:rPr>
                <w:rFonts w:cs="Times New Roman"/>
                <w:sz w:val="20"/>
              </w:rPr>
              <w:t>préférence</w:t>
            </w:r>
            <w:r w:rsidR="00E51CF7" w:rsidRPr="002C6217">
              <w:rPr>
                <w:rFonts w:cs="Times New Roman"/>
                <w:sz w:val="20"/>
              </w:rPr>
              <w:t xml:space="preserve"> </w:t>
            </w:r>
            <w:r w:rsidRPr="002C6217">
              <w:rPr>
                <w:rFonts w:cs="Times New Roman"/>
                <w:sz w:val="20"/>
              </w:rPr>
              <w:t>du</w:t>
            </w:r>
            <w:r w:rsidR="00E51CF7" w:rsidRPr="002C6217">
              <w:rPr>
                <w:rFonts w:cs="Times New Roman"/>
                <w:sz w:val="20"/>
              </w:rPr>
              <w:t xml:space="preserve"> DSI</w:t>
            </w:r>
            <w:r w:rsidR="0079311B" w:rsidRPr="002C6217">
              <w:rPr>
                <w:rFonts w:cs="Times New Roman"/>
                <w:sz w:val="20"/>
              </w:rPr>
              <w:t xml:space="preserve"> </w:t>
            </w:r>
            <w:r w:rsidR="00E51CF7" w:rsidRPr="002C6217">
              <w:rPr>
                <w:rFonts w:cs="Times New Roman"/>
                <w:sz w:val="20"/>
              </w:rPr>
              <w:t xml:space="preserve">? </w:t>
            </w:r>
            <w:r w:rsidRPr="002C6217">
              <w:rPr>
                <w:rFonts w:cs="Times New Roman"/>
                <w:sz w:val="20"/>
              </w:rPr>
              <w:t>Stratégie de la coopérative ?</w:t>
            </w:r>
          </w:p>
        </w:tc>
        <w:tc>
          <w:tcPr>
            <w:tcW w:w="1857" w:type="dxa"/>
          </w:tcPr>
          <w:p w14:paraId="6A8C99A9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>Bağyurdu</w:t>
            </w:r>
          </w:p>
        </w:tc>
      </w:tr>
      <w:tr w:rsidR="00E51CF7" w:rsidRPr="002C6217" w14:paraId="2873891C" w14:textId="77777777" w:rsidTr="0079311B">
        <w:trPr>
          <w:jc w:val="center"/>
        </w:trPr>
        <w:tc>
          <w:tcPr>
            <w:tcW w:w="2840" w:type="dxa"/>
            <w:vMerge/>
          </w:tcPr>
          <w:p w14:paraId="42C3FDE3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4101" w:type="dxa"/>
            <w:vMerge/>
          </w:tcPr>
          <w:p w14:paraId="73EFBF22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857" w:type="dxa"/>
          </w:tcPr>
          <w:p w14:paraId="4F847B1B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 xml:space="preserve">Yukarıkızılca </w:t>
            </w:r>
          </w:p>
        </w:tc>
      </w:tr>
      <w:tr w:rsidR="00E51CF7" w:rsidRPr="002C6217" w14:paraId="2280C545" w14:textId="77777777" w:rsidTr="0079311B">
        <w:trPr>
          <w:jc w:val="center"/>
        </w:trPr>
        <w:tc>
          <w:tcPr>
            <w:tcW w:w="2840" w:type="dxa"/>
            <w:vMerge/>
          </w:tcPr>
          <w:p w14:paraId="735FC9E4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4101" w:type="dxa"/>
            <w:vMerge/>
          </w:tcPr>
          <w:p w14:paraId="3CD11E0C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857" w:type="dxa"/>
          </w:tcPr>
          <w:p w14:paraId="3D7A93B1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i/>
                <w:sz w:val="20"/>
                <w:lang w:val="en-GB"/>
              </w:rPr>
              <w:t>Ürkmez*</w:t>
            </w:r>
          </w:p>
        </w:tc>
      </w:tr>
      <w:tr w:rsidR="00E51CF7" w:rsidRPr="002C6217" w14:paraId="4C6156DE" w14:textId="77777777" w:rsidTr="0079311B">
        <w:trPr>
          <w:jc w:val="center"/>
        </w:trPr>
        <w:tc>
          <w:tcPr>
            <w:tcW w:w="2840" w:type="dxa"/>
            <w:vMerge w:val="restart"/>
          </w:tcPr>
          <w:p w14:paraId="411CA4FC" w14:textId="77777777" w:rsidR="00E51CF7" w:rsidRPr="002C6217" w:rsidRDefault="0079311B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>Coopérative d’irrigation abandonnée (endettée dans le passé)</w:t>
            </w:r>
          </w:p>
        </w:tc>
        <w:tc>
          <w:tcPr>
            <w:tcW w:w="4101" w:type="dxa"/>
            <w:vMerge w:val="restart"/>
          </w:tcPr>
          <w:p w14:paraId="02F224E0" w14:textId="77777777" w:rsidR="00E51CF7" w:rsidRPr="002C6217" w:rsidRDefault="005E7753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 xml:space="preserve">Qui veut la réactiver (ou non) et pourquoi </w:t>
            </w:r>
            <w:r w:rsidR="00E51CF7" w:rsidRPr="002C6217">
              <w:rPr>
                <w:rFonts w:cs="Times New Roman"/>
                <w:sz w:val="20"/>
              </w:rPr>
              <w:t>?</w:t>
            </w:r>
          </w:p>
        </w:tc>
        <w:tc>
          <w:tcPr>
            <w:tcW w:w="1857" w:type="dxa"/>
          </w:tcPr>
          <w:p w14:paraId="1E7D6A3D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>Emiralem</w:t>
            </w:r>
          </w:p>
        </w:tc>
      </w:tr>
      <w:tr w:rsidR="00E51CF7" w:rsidRPr="002C6217" w14:paraId="74041F5E" w14:textId="77777777" w:rsidTr="0079311B">
        <w:trPr>
          <w:jc w:val="center"/>
        </w:trPr>
        <w:tc>
          <w:tcPr>
            <w:tcW w:w="2840" w:type="dxa"/>
            <w:vMerge/>
          </w:tcPr>
          <w:p w14:paraId="4D4E4FAD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4101" w:type="dxa"/>
            <w:vMerge/>
          </w:tcPr>
          <w:p w14:paraId="50536F32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857" w:type="dxa"/>
          </w:tcPr>
          <w:p w14:paraId="2BDDB8B7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>Süleymanli</w:t>
            </w:r>
          </w:p>
        </w:tc>
      </w:tr>
      <w:tr w:rsidR="00E51CF7" w:rsidRPr="002C6217" w14:paraId="7FEFD4CE" w14:textId="77777777" w:rsidTr="0079311B">
        <w:trPr>
          <w:jc w:val="center"/>
        </w:trPr>
        <w:tc>
          <w:tcPr>
            <w:tcW w:w="2840" w:type="dxa"/>
            <w:vMerge w:val="restart"/>
          </w:tcPr>
          <w:p w14:paraId="5D343FA6" w14:textId="77777777" w:rsidR="00E51CF7" w:rsidRPr="002C6217" w:rsidRDefault="005E7753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 xml:space="preserve">Nouvelle coopérative créée pour la gestion du </w:t>
            </w:r>
            <w:r w:rsidRPr="002C6217">
              <w:rPr>
                <w:rFonts w:cs="Times New Roman"/>
                <w:i/>
                <w:sz w:val="20"/>
              </w:rPr>
              <w:t>gölet</w:t>
            </w:r>
          </w:p>
        </w:tc>
        <w:tc>
          <w:tcPr>
            <w:tcW w:w="4101" w:type="dxa"/>
            <w:vMerge w:val="restart"/>
          </w:tcPr>
          <w:p w14:paraId="387AAFBA" w14:textId="77777777" w:rsidR="00E51CF7" w:rsidRPr="002C6217" w:rsidRDefault="005E7753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 xml:space="preserve">A qui demander la </w:t>
            </w:r>
            <w:r w:rsidR="003C077C" w:rsidRPr="002C6217">
              <w:rPr>
                <w:rFonts w:cs="Times New Roman"/>
                <w:sz w:val="20"/>
              </w:rPr>
              <w:t>création</w:t>
            </w:r>
            <w:r w:rsidRPr="002C6217">
              <w:rPr>
                <w:rFonts w:cs="Times New Roman"/>
                <w:sz w:val="20"/>
              </w:rPr>
              <w:t xml:space="preserve"> d’une nouvelle </w:t>
            </w:r>
            <w:r w:rsidR="003C077C" w:rsidRPr="002C6217">
              <w:rPr>
                <w:rFonts w:cs="Times New Roman"/>
                <w:sz w:val="20"/>
              </w:rPr>
              <w:t xml:space="preserve">coopérative </w:t>
            </w:r>
            <w:r w:rsidRPr="002C6217">
              <w:rPr>
                <w:rFonts w:cs="Times New Roman"/>
                <w:sz w:val="20"/>
              </w:rPr>
              <w:t>? Qui trouve</w:t>
            </w:r>
            <w:r w:rsidR="003C077C" w:rsidRPr="002C6217">
              <w:rPr>
                <w:rFonts w:cs="Times New Roman"/>
                <w:sz w:val="20"/>
              </w:rPr>
              <w:t xml:space="preserve"> un intérêt à mener cette nouvelle organisation ?</w:t>
            </w:r>
          </w:p>
        </w:tc>
        <w:tc>
          <w:tcPr>
            <w:tcW w:w="1857" w:type="dxa"/>
          </w:tcPr>
          <w:p w14:paraId="55B4460A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>Harputlu/Kocaoba</w:t>
            </w:r>
          </w:p>
        </w:tc>
      </w:tr>
      <w:tr w:rsidR="00E51CF7" w:rsidRPr="002C6217" w14:paraId="2BCD972A" w14:textId="77777777" w:rsidTr="0079311B">
        <w:trPr>
          <w:jc w:val="center"/>
        </w:trPr>
        <w:tc>
          <w:tcPr>
            <w:tcW w:w="2840" w:type="dxa"/>
            <w:vMerge/>
          </w:tcPr>
          <w:p w14:paraId="2EC3E79C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4101" w:type="dxa"/>
            <w:vMerge/>
          </w:tcPr>
          <w:p w14:paraId="2C99206B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857" w:type="dxa"/>
          </w:tcPr>
          <w:p w14:paraId="097D6D0F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>Yenişakran</w:t>
            </w:r>
          </w:p>
        </w:tc>
      </w:tr>
      <w:tr w:rsidR="00E51CF7" w:rsidRPr="002C6217" w14:paraId="24CE178A" w14:textId="77777777" w:rsidTr="0079311B">
        <w:trPr>
          <w:jc w:val="center"/>
        </w:trPr>
        <w:tc>
          <w:tcPr>
            <w:tcW w:w="2840" w:type="dxa"/>
            <w:vMerge/>
          </w:tcPr>
          <w:p w14:paraId="092D0160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4101" w:type="dxa"/>
            <w:vMerge/>
          </w:tcPr>
          <w:p w14:paraId="1E9A6E8F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857" w:type="dxa"/>
          </w:tcPr>
          <w:p w14:paraId="25901DA5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i/>
                <w:sz w:val="20"/>
                <w:lang w:val="en-GB"/>
              </w:rPr>
              <w:t>Aliağa*</w:t>
            </w:r>
          </w:p>
        </w:tc>
      </w:tr>
      <w:tr w:rsidR="00E51CF7" w:rsidRPr="002C6217" w14:paraId="07336227" w14:textId="77777777" w:rsidTr="0079311B">
        <w:trPr>
          <w:jc w:val="center"/>
        </w:trPr>
        <w:tc>
          <w:tcPr>
            <w:tcW w:w="2840" w:type="dxa"/>
            <w:vMerge w:val="restart"/>
          </w:tcPr>
          <w:p w14:paraId="1169BF62" w14:textId="77777777" w:rsidR="00E51CF7" w:rsidRPr="002C6217" w:rsidRDefault="003C077C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 xml:space="preserve">Pas de coopérative : autre solution </w:t>
            </w:r>
          </w:p>
        </w:tc>
        <w:tc>
          <w:tcPr>
            <w:tcW w:w="4101" w:type="dxa"/>
            <w:vMerge w:val="restart"/>
          </w:tcPr>
          <w:p w14:paraId="20DFD990" w14:textId="77777777" w:rsidR="00E51CF7" w:rsidRPr="002C6217" w:rsidRDefault="000629CB" w:rsidP="003408FE">
            <w:pPr>
              <w:rPr>
                <w:rFonts w:cs="Times New Roman"/>
                <w:sz w:val="20"/>
              </w:rPr>
            </w:pPr>
            <w:r w:rsidRPr="002C6217">
              <w:rPr>
                <w:rFonts w:cs="Times New Roman"/>
                <w:sz w:val="20"/>
              </w:rPr>
              <w:t>Raisons de la recherche d’autre options ?</w:t>
            </w:r>
          </w:p>
        </w:tc>
        <w:tc>
          <w:tcPr>
            <w:tcW w:w="1857" w:type="dxa"/>
          </w:tcPr>
          <w:p w14:paraId="46AA1D50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  <w:r w:rsidRPr="002C6217">
              <w:rPr>
                <w:rFonts w:cs="Times New Roman"/>
                <w:sz w:val="20"/>
                <w:lang w:val="en-GB"/>
              </w:rPr>
              <w:t>Savanda</w:t>
            </w:r>
          </w:p>
        </w:tc>
      </w:tr>
      <w:tr w:rsidR="00E51CF7" w:rsidRPr="002C6217" w14:paraId="0C14C85C" w14:textId="77777777" w:rsidTr="0079311B">
        <w:trPr>
          <w:jc w:val="center"/>
        </w:trPr>
        <w:tc>
          <w:tcPr>
            <w:tcW w:w="2840" w:type="dxa"/>
            <w:vMerge/>
          </w:tcPr>
          <w:p w14:paraId="59492EB5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4101" w:type="dxa"/>
            <w:vMerge/>
          </w:tcPr>
          <w:p w14:paraId="6791CCF6" w14:textId="77777777" w:rsidR="00E51CF7" w:rsidRPr="002C6217" w:rsidRDefault="00E51CF7" w:rsidP="003408FE">
            <w:pPr>
              <w:rPr>
                <w:rFonts w:cs="Times New Roman"/>
                <w:sz w:val="20"/>
                <w:lang w:val="en-GB"/>
              </w:rPr>
            </w:pPr>
          </w:p>
        </w:tc>
        <w:tc>
          <w:tcPr>
            <w:tcW w:w="1857" w:type="dxa"/>
          </w:tcPr>
          <w:p w14:paraId="5F70F931" w14:textId="77777777" w:rsidR="00E51CF7" w:rsidRPr="002C6217" w:rsidRDefault="00E51CF7" w:rsidP="003408FE">
            <w:pPr>
              <w:rPr>
                <w:rFonts w:cs="Times New Roman"/>
                <w:i/>
                <w:sz w:val="20"/>
                <w:lang w:val="en-GB"/>
              </w:rPr>
            </w:pPr>
            <w:r w:rsidRPr="002C6217">
              <w:rPr>
                <w:rFonts w:cs="Times New Roman"/>
                <w:i/>
                <w:sz w:val="20"/>
                <w:lang w:val="en-GB"/>
              </w:rPr>
              <w:t>Seferihisar*</w:t>
            </w:r>
          </w:p>
        </w:tc>
      </w:tr>
    </w:tbl>
    <w:p w14:paraId="1457390E" w14:textId="2A2CEEC4" w:rsidR="00E51CF7" w:rsidRPr="00187D38" w:rsidRDefault="00E51CF7" w:rsidP="00187D38">
      <w:pPr>
        <w:spacing w:after="0"/>
        <w:jc w:val="both"/>
        <w:rPr>
          <w:rFonts w:cs="Times New Roman"/>
          <w:color w:val="595959" w:themeColor="text1" w:themeTint="A6"/>
          <w:sz w:val="16"/>
        </w:rPr>
      </w:pPr>
      <w:r w:rsidRPr="002C6217">
        <w:rPr>
          <w:rFonts w:cs="Times New Roman"/>
          <w:i/>
          <w:color w:val="595959" w:themeColor="text1" w:themeTint="A6"/>
          <w:sz w:val="16"/>
        </w:rPr>
        <w:t>N</w:t>
      </w:r>
      <w:r w:rsidR="000629CB" w:rsidRPr="002C6217">
        <w:rPr>
          <w:rFonts w:cs="Times New Roman"/>
          <w:i/>
          <w:color w:val="595959" w:themeColor="text1" w:themeTint="A6"/>
          <w:sz w:val="16"/>
        </w:rPr>
        <w:t>om</w:t>
      </w:r>
      <w:r w:rsidRPr="002C6217">
        <w:rPr>
          <w:rFonts w:cs="Times New Roman"/>
          <w:color w:val="595959" w:themeColor="text1" w:themeTint="A6"/>
          <w:sz w:val="16"/>
        </w:rPr>
        <w:t xml:space="preserve">*: village </w:t>
      </w:r>
      <w:r w:rsidR="000629CB" w:rsidRPr="002C6217">
        <w:rPr>
          <w:rFonts w:cs="Times New Roman"/>
          <w:color w:val="595959" w:themeColor="text1" w:themeTint="A6"/>
          <w:sz w:val="16"/>
        </w:rPr>
        <w:t xml:space="preserve">où un </w:t>
      </w:r>
      <w:r w:rsidR="000629CB" w:rsidRPr="002C6217">
        <w:rPr>
          <w:rFonts w:cs="Times New Roman"/>
          <w:i/>
          <w:color w:val="595959" w:themeColor="text1" w:themeTint="A6"/>
          <w:sz w:val="16"/>
        </w:rPr>
        <w:t>gölet</w:t>
      </w:r>
      <w:r w:rsidR="000629CB" w:rsidRPr="002C6217">
        <w:rPr>
          <w:rFonts w:cs="Times New Roman"/>
          <w:color w:val="595959" w:themeColor="text1" w:themeTint="A6"/>
          <w:sz w:val="16"/>
        </w:rPr>
        <w:t xml:space="preserve"> a été construit avant le programme</w:t>
      </w:r>
      <w:r w:rsidRPr="002C6217">
        <w:rPr>
          <w:rFonts w:cs="Times New Roman"/>
          <w:color w:val="595959" w:themeColor="text1" w:themeTint="A6"/>
          <w:sz w:val="16"/>
        </w:rPr>
        <w:t xml:space="preserve"> ‘1000 </w:t>
      </w:r>
      <w:r w:rsidRPr="002C6217">
        <w:rPr>
          <w:rFonts w:cs="Times New Roman"/>
          <w:i/>
          <w:color w:val="595959" w:themeColor="text1" w:themeTint="A6"/>
          <w:sz w:val="16"/>
        </w:rPr>
        <w:t xml:space="preserve">gölet </w:t>
      </w:r>
      <w:r w:rsidR="000629CB" w:rsidRPr="002C6217">
        <w:rPr>
          <w:rFonts w:cs="Times New Roman"/>
          <w:color w:val="595959" w:themeColor="text1" w:themeTint="A6"/>
          <w:sz w:val="16"/>
        </w:rPr>
        <w:t>en</w:t>
      </w:r>
      <w:r w:rsidRPr="002C6217">
        <w:rPr>
          <w:rFonts w:cs="Times New Roman"/>
          <w:color w:val="595959" w:themeColor="text1" w:themeTint="A6"/>
          <w:sz w:val="16"/>
        </w:rPr>
        <w:t xml:space="preserve"> </w:t>
      </w:r>
      <w:r w:rsidR="000629CB" w:rsidRPr="002C6217">
        <w:rPr>
          <w:rFonts w:cs="Times New Roman"/>
          <w:color w:val="595959" w:themeColor="text1" w:themeTint="A6"/>
          <w:sz w:val="16"/>
        </w:rPr>
        <w:t xml:space="preserve">1000 jours’ et était géré localement soit par une coopérative d’irrigation </w:t>
      </w:r>
      <w:r w:rsidRPr="002C6217">
        <w:rPr>
          <w:rFonts w:cs="Times New Roman"/>
          <w:color w:val="595959" w:themeColor="text1" w:themeTint="A6"/>
          <w:sz w:val="16"/>
        </w:rPr>
        <w:t xml:space="preserve">(Ürkmez, Aliağa) </w:t>
      </w:r>
      <w:r w:rsidR="000629CB" w:rsidRPr="002C6217">
        <w:rPr>
          <w:rFonts w:cs="Times New Roman"/>
          <w:color w:val="595959" w:themeColor="text1" w:themeTint="A6"/>
          <w:sz w:val="16"/>
        </w:rPr>
        <w:t>soit par une municipalité de district</w:t>
      </w:r>
      <w:r w:rsidRPr="002C6217">
        <w:rPr>
          <w:rFonts w:cs="Times New Roman"/>
          <w:color w:val="595959" w:themeColor="text1" w:themeTint="A6"/>
          <w:sz w:val="16"/>
        </w:rPr>
        <w:t xml:space="preserve"> (Seferihisar). </w:t>
      </w:r>
    </w:p>
    <w:p w14:paraId="71349A6F" w14:textId="77777777" w:rsidR="00F73FBD" w:rsidRPr="00911CDB" w:rsidRDefault="00F277AD" w:rsidP="00187D38">
      <w:pPr>
        <w:pStyle w:val="Titre1"/>
        <w:spacing w:before="360" w:after="120"/>
      </w:pPr>
      <w:r>
        <w:t xml:space="preserve">Petits objets, grand programme : </w:t>
      </w:r>
      <w:r w:rsidR="001B2352">
        <w:t xml:space="preserve">faire marcher les </w:t>
      </w:r>
      <w:r w:rsidR="001B2352" w:rsidRPr="001B2352">
        <w:rPr>
          <w:i/>
        </w:rPr>
        <w:t>gölet</w:t>
      </w:r>
    </w:p>
    <w:p w14:paraId="0A15980D" w14:textId="48E8B224" w:rsidR="00F73FBD" w:rsidRDefault="00187D38" w:rsidP="00F9750F">
      <w:pPr>
        <w:jc w:val="both"/>
      </w:pPr>
      <w:r>
        <w:t>L</w:t>
      </w:r>
      <w:r w:rsidR="009E0B48">
        <w:t xml:space="preserve">es </w:t>
      </w:r>
      <w:r w:rsidR="009E0B48" w:rsidRPr="009E0B48">
        <w:rPr>
          <w:i/>
        </w:rPr>
        <w:t>gölet</w:t>
      </w:r>
      <w:r>
        <w:rPr>
          <w:i/>
        </w:rPr>
        <w:t xml:space="preserve"> </w:t>
      </w:r>
      <w:r w:rsidRPr="00187D38">
        <w:t>présentent une spécificité scalaire</w:t>
      </w:r>
      <w:r w:rsidR="00F46808">
        <w:t> : ce sont de</w:t>
      </w:r>
      <w:r w:rsidR="00F9750F">
        <w:t xml:space="preserve"> petits objets techniques permettant d’irriguer à l’échelle des villages, mais</w:t>
      </w:r>
      <w:r w:rsidR="000A2E18">
        <w:t xml:space="preserve"> construits dans le cadre d’un grand programme national, avec une large couverture géographique. Il y a </w:t>
      </w:r>
      <w:r w:rsidR="00514216">
        <w:t xml:space="preserve">donc </w:t>
      </w:r>
      <w:r w:rsidR="00305983">
        <w:t xml:space="preserve">eu </w:t>
      </w:r>
      <w:r w:rsidR="000A2E18">
        <w:t xml:space="preserve">une dissémination de ces ouvrages, </w:t>
      </w:r>
      <w:r w:rsidR="00305983">
        <w:t xml:space="preserve">chaque délégation régionale du DSI étant chargée d’en construire autant que possible. </w:t>
      </w:r>
      <w:r w:rsidR="0037293B">
        <w:t>Une étude de l’analyse des</w:t>
      </w:r>
      <w:r w:rsidR="00305983">
        <w:t xml:space="preserve"> </w:t>
      </w:r>
      <w:r w:rsidR="00305983">
        <w:lastRenderedPageBreak/>
        <w:t>discours légitimant ce programme d’aménageme</w:t>
      </w:r>
      <w:r w:rsidR="0037293B">
        <w:t xml:space="preserve">nt montrait que </w:t>
      </w:r>
      <w:r w:rsidR="00610B91">
        <w:t xml:space="preserve">les </w:t>
      </w:r>
      <w:r w:rsidR="00610B91" w:rsidRPr="00610B91">
        <w:rPr>
          <w:i/>
        </w:rPr>
        <w:t>gölet</w:t>
      </w:r>
      <w:r w:rsidR="00610B91">
        <w:t xml:space="preserve"> avait quitté la technosphère pour entrer dans le domaine politique</w:t>
      </w:r>
      <w:r w:rsidR="007C7137">
        <w:t> </w:t>
      </w:r>
      <w:r w:rsidR="00514216">
        <w:t xml:space="preserve">en </w:t>
      </w:r>
      <w:r w:rsidR="00610B91">
        <w:t>permet</w:t>
      </w:r>
      <w:r w:rsidR="00514216">
        <w:t>tant</w:t>
      </w:r>
      <w:r w:rsidR="00610B91">
        <w:t xml:space="preserve"> </w:t>
      </w:r>
      <w:r w:rsidR="00720CC6">
        <w:t>au pouvoir central de se rapprocher du local</w:t>
      </w:r>
      <w:r w:rsidR="00610B91">
        <w:t>.</w:t>
      </w:r>
      <w:r w:rsidR="00AD7191">
        <w:t xml:space="preserve"> </w:t>
      </w:r>
      <w:r w:rsidR="00C75F6B">
        <w:t xml:space="preserve">Cependant, si la multitude des </w:t>
      </w:r>
      <w:r w:rsidR="008D45E6">
        <w:t xml:space="preserve">projets de </w:t>
      </w:r>
      <w:r w:rsidR="00C75F6B" w:rsidRPr="008D45E6">
        <w:rPr>
          <w:i/>
        </w:rPr>
        <w:t>gölet</w:t>
      </w:r>
      <w:r w:rsidR="007D77FE">
        <w:t xml:space="preserve"> façonne les relations Etat</w:t>
      </w:r>
      <w:r w:rsidR="00C75F6B">
        <w:t>-société en relayant l’idée d’une Etat-aménageur fort jusqu’au niveau local</w:t>
      </w:r>
      <w:r w:rsidR="00E173A6">
        <w:t>,</w:t>
      </w:r>
      <w:r w:rsidR="00C75F6B">
        <w:t xml:space="preserve"> dans un millier de villages, c’est </w:t>
      </w:r>
      <w:r w:rsidR="008D45E6">
        <w:t xml:space="preserve">autant de transferts de gestion d’ouvrages que le DSI doit </w:t>
      </w:r>
      <w:r w:rsidR="0038313F">
        <w:t xml:space="preserve">réaliser </w:t>
      </w:r>
      <w:r w:rsidR="008D45E6">
        <w:t>dans des contextes très différents, et autant d’opportunités</w:t>
      </w:r>
      <w:r w:rsidR="00522C7B">
        <w:t xml:space="preserve"> pour les </w:t>
      </w:r>
      <w:r w:rsidR="007A76FD">
        <w:t xml:space="preserve">agriculteurs </w:t>
      </w:r>
      <w:r w:rsidR="00E173A6">
        <w:t>d’</w:t>
      </w:r>
      <w:r w:rsidR="00522C7B">
        <w:t>entrer en discussion avec les aménageurs.</w:t>
      </w:r>
      <w:r w:rsidR="001B21EE">
        <w:t xml:space="preserve"> Ce n’est pas la même chose</w:t>
      </w:r>
      <w:r w:rsidR="00953844">
        <w:t xml:space="preserve"> pour le DSI</w:t>
      </w:r>
      <w:r w:rsidR="001B21EE">
        <w:t xml:space="preserve"> de transférer la gestion de quelques grands barrages</w:t>
      </w:r>
      <w:r w:rsidR="00953844">
        <w:t xml:space="preserve"> comme dans le passé</w:t>
      </w:r>
      <w:r w:rsidR="00F46808">
        <w:t>,</w:t>
      </w:r>
      <w:r w:rsidR="001B21EE">
        <w:t xml:space="preserve"> </w:t>
      </w:r>
      <w:r w:rsidR="00953844">
        <w:t>ou</w:t>
      </w:r>
      <w:r w:rsidR="001B21EE">
        <w:t xml:space="preserve"> une multitude de petits ouvrages dans des contextes</w:t>
      </w:r>
      <w:r w:rsidR="00FF528E">
        <w:t xml:space="preserve"> très</w:t>
      </w:r>
      <w:r w:rsidR="001B21EE">
        <w:t xml:space="preserve"> variés</w:t>
      </w:r>
      <w:r w:rsidR="001A5A64">
        <w:t xml:space="preserve"> – et</w:t>
      </w:r>
      <w:r w:rsidR="001B21EE">
        <w:t xml:space="preserve"> ce d’autant plus </w:t>
      </w:r>
      <w:r w:rsidR="00953844">
        <w:t xml:space="preserve">au </w:t>
      </w:r>
      <w:r w:rsidR="001A5A64">
        <w:t>vu</w:t>
      </w:r>
      <w:r w:rsidR="00953844">
        <w:t xml:space="preserve"> de la vitesse imposée </w:t>
      </w:r>
      <w:r w:rsidR="001A5A64">
        <w:t>pour la</w:t>
      </w:r>
      <w:r w:rsidR="00953844">
        <w:t xml:space="preserve"> mise en œuvre d</w:t>
      </w:r>
      <w:r w:rsidR="00FF528E">
        <w:t>e ce</w:t>
      </w:r>
      <w:r w:rsidR="00953844">
        <w:t xml:space="preserve"> programme.</w:t>
      </w:r>
      <w:r w:rsidR="008D01E7">
        <w:t xml:space="preserve"> Nous verrons</w:t>
      </w:r>
      <w:r w:rsidR="007F5360">
        <w:t xml:space="preserve"> donc</w:t>
      </w:r>
      <w:r w:rsidR="008D01E7">
        <w:t xml:space="preserve"> comment l’administration </w:t>
      </w:r>
      <w:r w:rsidR="00FF528E">
        <w:t>et</w:t>
      </w:r>
      <w:r w:rsidR="008D01E7">
        <w:t xml:space="preserve"> les acteurs locaux négocient</w:t>
      </w:r>
      <w:r w:rsidR="007F5360">
        <w:t xml:space="preserve"> et</w:t>
      </w:r>
      <w:r w:rsidR="008D01E7">
        <w:t xml:space="preserve"> trouvent des arrangements autour des nouveaux </w:t>
      </w:r>
      <w:r w:rsidR="008D01E7" w:rsidRPr="008D01E7">
        <w:rPr>
          <w:i/>
        </w:rPr>
        <w:t>gölet</w:t>
      </w:r>
      <w:r w:rsidR="008D01E7">
        <w:t>.</w:t>
      </w:r>
    </w:p>
    <w:p w14:paraId="7976EAC8" w14:textId="77777777" w:rsidR="001B2352" w:rsidRPr="00911CDB" w:rsidRDefault="001B2352" w:rsidP="006B17C0">
      <w:pPr>
        <w:pStyle w:val="Titre1"/>
        <w:spacing w:after="120"/>
      </w:pPr>
      <w:r>
        <w:t>La politique du quotidien : façonner les institutions de gestion de l’eau</w:t>
      </w:r>
    </w:p>
    <w:p w14:paraId="621A0678" w14:textId="77777777" w:rsidR="001B2352" w:rsidRDefault="002712F7" w:rsidP="00F9750F">
      <w:pPr>
        <w:jc w:val="both"/>
      </w:pPr>
      <w:r>
        <w:t xml:space="preserve">Nous avons regardé comment la gestion des </w:t>
      </w:r>
      <w:r w:rsidRPr="007F5360">
        <w:rPr>
          <w:i/>
        </w:rPr>
        <w:t>gölet</w:t>
      </w:r>
      <w:r>
        <w:t xml:space="preserve"> était négociée localement dans </w:t>
      </w:r>
      <w:r w:rsidR="00FF3033">
        <w:t>la mesure où le DSI ne peut légalement transférer leur gestion qu’aux coopératives d’irrigation, aux municipalités de district et aux autorités villageoises (ces dernières ayant été</w:t>
      </w:r>
      <w:r w:rsidR="007F5360">
        <w:t xml:space="preserve"> supprimées</w:t>
      </w:r>
      <w:r w:rsidR="00FF3033">
        <w:t xml:space="preserve"> </w:t>
      </w:r>
      <w:r w:rsidR="00ED7E84">
        <w:t xml:space="preserve">au sein des </w:t>
      </w:r>
      <w:r w:rsidR="00622830">
        <w:t xml:space="preserve">aires </w:t>
      </w:r>
      <w:r w:rsidR="007F5360">
        <w:t>métropol</w:t>
      </w:r>
      <w:r w:rsidR="00622830">
        <w:t>itain</w:t>
      </w:r>
      <w:r w:rsidR="007F5360">
        <w:t>es comme</w:t>
      </w:r>
      <w:r w:rsidR="00303AED">
        <w:t xml:space="preserve"> à </w:t>
      </w:r>
      <w:r w:rsidR="00ED7E84">
        <w:t>Izmir)</w:t>
      </w:r>
      <w:r w:rsidR="00EA682A">
        <w:t>.</w:t>
      </w:r>
    </w:p>
    <w:p w14:paraId="1B7727B3" w14:textId="77777777" w:rsidR="00ED7E84" w:rsidRDefault="006B17C0" w:rsidP="00CD1690">
      <w:pPr>
        <w:pStyle w:val="Titre2"/>
        <w:ind w:left="576"/>
      </w:pPr>
      <w:r>
        <w:t xml:space="preserve">Mobiliser </w:t>
      </w:r>
      <w:r w:rsidR="00E34BCC">
        <w:t>d</w:t>
      </w:r>
      <w:r>
        <w:t xml:space="preserve">es acteurs </w:t>
      </w:r>
      <w:r w:rsidR="00E34BCC">
        <w:t>fiables via</w:t>
      </w:r>
      <w:r>
        <w:t xml:space="preserve"> </w:t>
      </w:r>
      <w:r w:rsidR="00E34BCC">
        <w:t>les</w:t>
      </w:r>
      <w:r>
        <w:t xml:space="preserve"> coopératives d’irrigation</w:t>
      </w:r>
    </w:p>
    <w:p w14:paraId="453ACC67" w14:textId="01136F2A" w:rsidR="00CD50C4" w:rsidRDefault="00F335E1" w:rsidP="002450A0">
      <w:pPr>
        <w:spacing w:before="120" w:after="0"/>
        <w:jc w:val="both"/>
        <w:rPr>
          <w:lang w:eastAsia="fr-FR"/>
        </w:rPr>
      </w:pPr>
      <w:r>
        <w:rPr>
          <w:lang w:eastAsia="fr-FR"/>
        </w:rPr>
        <w:t xml:space="preserve">L’administration hydraulique à Izmir a préféré </w:t>
      </w:r>
      <w:r w:rsidR="00376BB1">
        <w:rPr>
          <w:lang w:eastAsia="fr-FR"/>
        </w:rPr>
        <w:t>transférer</w:t>
      </w:r>
      <w:r>
        <w:rPr>
          <w:lang w:eastAsia="fr-FR"/>
        </w:rPr>
        <w:t xml:space="preserve"> la gestion des </w:t>
      </w:r>
      <w:r w:rsidRPr="006E3487">
        <w:rPr>
          <w:i/>
          <w:lang w:eastAsia="fr-FR"/>
        </w:rPr>
        <w:t>gölet</w:t>
      </w:r>
      <w:r>
        <w:rPr>
          <w:lang w:eastAsia="fr-FR"/>
        </w:rPr>
        <w:t xml:space="preserve"> à des coopératives d’irrigation</w:t>
      </w:r>
      <w:r w:rsidR="00CA32BF">
        <w:rPr>
          <w:lang w:eastAsia="fr-FR"/>
        </w:rPr>
        <w:t xml:space="preserve"> </w:t>
      </w:r>
      <w:r w:rsidR="00A2053C">
        <w:rPr>
          <w:lang w:eastAsia="fr-FR"/>
        </w:rPr>
        <w:t xml:space="preserve">plutôt qu’à </w:t>
      </w:r>
      <w:r w:rsidR="00376BB1">
        <w:rPr>
          <w:lang w:eastAsia="fr-FR"/>
        </w:rPr>
        <w:t>des municipalités considérées</w:t>
      </w:r>
      <w:r w:rsidR="00A2053C">
        <w:rPr>
          <w:lang w:eastAsia="fr-FR"/>
        </w:rPr>
        <w:t xml:space="preserve"> comme</w:t>
      </w:r>
      <w:r w:rsidR="006E3487">
        <w:rPr>
          <w:lang w:eastAsia="fr-FR"/>
        </w:rPr>
        <w:t xml:space="preserve"> trop politisées</w:t>
      </w:r>
      <w:r w:rsidR="00A2053C">
        <w:rPr>
          <w:lang w:eastAsia="fr-FR"/>
        </w:rPr>
        <w:t>.</w:t>
      </w:r>
      <w:r w:rsidR="00376BB1">
        <w:rPr>
          <w:lang w:eastAsia="fr-FR"/>
        </w:rPr>
        <w:t xml:space="preserve"> </w:t>
      </w:r>
      <w:r w:rsidR="00CE6704">
        <w:rPr>
          <w:lang w:eastAsia="fr-FR"/>
        </w:rPr>
        <w:t>L</w:t>
      </w:r>
      <w:r w:rsidR="00376BB1">
        <w:rPr>
          <w:lang w:eastAsia="fr-FR"/>
        </w:rPr>
        <w:t>es coopératives étaient</w:t>
      </w:r>
      <w:r w:rsidR="00CE6704">
        <w:rPr>
          <w:lang w:eastAsia="fr-FR"/>
        </w:rPr>
        <w:t xml:space="preserve"> </w:t>
      </w:r>
      <w:r w:rsidR="00376BB1">
        <w:rPr>
          <w:lang w:eastAsia="fr-FR"/>
        </w:rPr>
        <w:t xml:space="preserve">considérées </w:t>
      </w:r>
      <w:r w:rsidR="00593AD7">
        <w:rPr>
          <w:lang w:eastAsia="fr-FR"/>
        </w:rPr>
        <w:t>petites</w:t>
      </w:r>
      <w:r w:rsidR="008C0E3B">
        <w:rPr>
          <w:lang w:eastAsia="fr-FR"/>
        </w:rPr>
        <w:t>,</w:t>
      </w:r>
      <w:r w:rsidR="00593AD7">
        <w:rPr>
          <w:lang w:eastAsia="fr-FR"/>
        </w:rPr>
        <w:t xml:space="preserve"> mal gérées </w:t>
      </w:r>
      <w:r w:rsidR="00CE6704">
        <w:rPr>
          <w:lang w:eastAsia="fr-FR"/>
        </w:rPr>
        <w:t>(</w:t>
      </w:r>
      <w:r w:rsidR="00593AD7">
        <w:rPr>
          <w:lang w:eastAsia="fr-FR"/>
        </w:rPr>
        <w:t>endettées</w:t>
      </w:r>
      <w:r w:rsidR="00CE6704">
        <w:rPr>
          <w:lang w:eastAsia="fr-FR"/>
        </w:rPr>
        <w:t>)</w:t>
      </w:r>
      <w:r w:rsidR="00593AD7">
        <w:rPr>
          <w:lang w:eastAsia="fr-FR"/>
        </w:rPr>
        <w:t xml:space="preserve"> mais également plus susceptibles de dialoguer</w:t>
      </w:r>
      <w:r w:rsidR="000818B7">
        <w:rPr>
          <w:lang w:eastAsia="fr-FR"/>
        </w:rPr>
        <w:t>,</w:t>
      </w:r>
      <w:r w:rsidR="00593AD7">
        <w:rPr>
          <w:lang w:eastAsia="fr-FR"/>
        </w:rPr>
        <w:t xml:space="preserve"> dans la mesure où le DSI avait </w:t>
      </w:r>
      <w:r w:rsidR="00CA32BF">
        <w:rPr>
          <w:lang w:eastAsia="fr-FR"/>
        </w:rPr>
        <w:t xml:space="preserve">l’habitude </w:t>
      </w:r>
      <w:r w:rsidR="008D6262">
        <w:rPr>
          <w:lang w:eastAsia="fr-FR"/>
        </w:rPr>
        <w:t>avec elles de</w:t>
      </w:r>
      <w:r w:rsidR="00CA32BF">
        <w:rPr>
          <w:lang w:eastAsia="fr-FR"/>
        </w:rPr>
        <w:t xml:space="preserve"> relations verticales</w:t>
      </w:r>
      <w:r w:rsidR="008D6262">
        <w:rPr>
          <w:lang w:eastAsia="fr-FR"/>
        </w:rPr>
        <w:t xml:space="preserve"> basées sur un appui administratif, technique et financier. Par ailleurs, le DSI a concentré l’expertise hydraulique et</w:t>
      </w:r>
      <w:r w:rsidR="00405734">
        <w:rPr>
          <w:lang w:eastAsia="fr-FR"/>
        </w:rPr>
        <w:t xml:space="preserve"> gagné un haut niveau d’autonomie en T</w:t>
      </w:r>
      <w:r w:rsidR="00F46808">
        <w:rPr>
          <w:lang w:eastAsia="fr-FR"/>
        </w:rPr>
        <w:t xml:space="preserve">urquie. </w:t>
      </w:r>
      <w:r w:rsidR="007D77FE">
        <w:rPr>
          <w:lang w:eastAsia="fr-FR"/>
        </w:rPr>
        <w:t>Il</w:t>
      </w:r>
      <w:r w:rsidR="00F46808">
        <w:rPr>
          <w:lang w:eastAsia="fr-FR"/>
        </w:rPr>
        <w:t xml:space="preserve"> n’est pas responsable</w:t>
      </w:r>
      <w:r w:rsidR="00405734">
        <w:rPr>
          <w:lang w:eastAsia="fr-FR"/>
        </w:rPr>
        <w:t xml:space="preserve"> devant les autorités locales mais dépend directement du gouvernement central. </w:t>
      </w:r>
      <w:r w:rsidR="00C9719A">
        <w:rPr>
          <w:lang w:eastAsia="fr-FR"/>
        </w:rPr>
        <w:t>L</w:t>
      </w:r>
      <w:r w:rsidR="00405734">
        <w:rPr>
          <w:lang w:eastAsia="fr-FR"/>
        </w:rPr>
        <w:t>es ingénieurs rencontrés au niveau local ne souhaitaient</w:t>
      </w:r>
      <w:r w:rsidR="00C9719A">
        <w:rPr>
          <w:lang w:eastAsia="fr-FR"/>
        </w:rPr>
        <w:t xml:space="preserve"> donc</w:t>
      </w:r>
      <w:r w:rsidR="00405734">
        <w:rPr>
          <w:lang w:eastAsia="fr-FR"/>
        </w:rPr>
        <w:t xml:space="preserve"> pas </w:t>
      </w:r>
      <w:r w:rsidR="003408FE">
        <w:rPr>
          <w:lang w:eastAsia="fr-FR"/>
        </w:rPr>
        <w:t>s’engager avec les municipalités de district, qui « </w:t>
      </w:r>
      <w:r w:rsidR="003408FE" w:rsidRPr="003408FE">
        <w:rPr>
          <w:i/>
          <w:lang w:eastAsia="fr-FR"/>
        </w:rPr>
        <w:t>basculent d’une élection à l’autre et ne connaissent rien à l’irrigation</w:t>
      </w:r>
      <w:r w:rsidR="003408FE">
        <w:rPr>
          <w:lang w:eastAsia="fr-FR"/>
        </w:rPr>
        <w:t> » (Izmir, 2017)</w:t>
      </w:r>
      <w:r w:rsidR="003E4405">
        <w:rPr>
          <w:lang w:eastAsia="fr-FR"/>
        </w:rPr>
        <w:t xml:space="preserve">. Cette préférence était visible </w:t>
      </w:r>
      <w:r w:rsidR="00262901">
        <w:rPr>
          <w:lang w:eastAsia="fr-FR"/>
        </w:rPr>
        <w:t>dans</w:t>
      </w:r>
      <w:r w:rsidR="003E4405">
        <w:rPr>
          <w:lang w:eastAsia="fr-FR"/>
        </w:rPr>
        <w:t xml:space="preserve"> différents cas étudiés</w:t>
      </w:r>
      <w:r w:rsidR="008A33DA">
        <w:rPr>
          <w:lang w:eastAsia="fr-FR"/>
        </w:rPr>
        <w:t>, dont deux où les agriculteurs irriguaient déjà de manière intensive</w:t>
      </w:r>
      <w:r w:rsidR="00262901">
        <w:rPr>
          <w:lang w:eastAsia="fr-FR"/>
        </w:rPr>
        <w:t xml:space="preserve"> avant l’arrivée des </w:t>
      </w:r>
      <w:r w:rsidR="00262901" w:rsidRPr="00262901">
        <w:rPr>
          <w:i/>
          <w:lang w:eastAsia="fr-FR"/>
        </w:rPr>
        <w:t>gölet</w:t>
      </w:r>
      <w:r w:rsidR="008A33DA">
        <w:rPr>
          <w:lang w:eastAsia="fr-FR"/>
        </w:rPr>
        <w:t xml:space="preserve">. </w:t>
      </w:r>
      <w:r w:rsidR="003E4405">
        <w:rPr>
          <w:lang w:eastAsia="fr-FR"/>
        </w:rPr>
        <w:t>A Bağyurdu,</w:t>
      </w:r>
      <w:r w:rsidR="003D4460">
        <w:rPr>
          <w:lang w:eastAsia="fr-FR"/>
        </w:rPr>
        <w:t xml:space="preserve"> où </w:t>
      </w:r>
      <w:r w:rsidR="003E4405">
        <w:rPr>
          <w:lang w:eastAsia="fr-FR"/>
        </w:rPr>
        <w:t>une coopérative d’irrigation</w:t>
      </w:r>
      <w:r w:rsidR="00B50222">
        <w:rPr>
          <w:lang w:eastAsia="fr-FR"/>
        </w:rPr>
        <w:t xml:space="preserve"> gérait</w:t>
      </w:r>
      <w:r w:rsidR="003D4460">
        <w:rPr>
          <w:lang w:eastAsia="fr-FR"/>
        </w:rPr>
        <w:t xml:space="preserve"> collectivement l’accès et la distribution d’eaux souterraines pour l’irrigation</w:t>
      </w:r>
      <w:r w:rsidR="00B979EB">
        <w:rPr>
          <w:lang w:eastAsia="fr-FR"/>
        </w:rPr>
        <w:t>,</w:t>
      </w:r>
      <w:r w:rsidR="00B50222">
        <w:rPr>
          <w:lang w:eastAsia="fr-FR"/>
        </w:rPr>
        <w:t xml:space="preserve"> le DSI a laissée</w:t>
      </w:r>
      <w:r w:rsidR="00B979EB">
        <w:rPr>
          <w:lang w:eastAsia="fr-FR"/>
        </w:rPr>
        <w:t xml:space="preserve"> </w:t>
      </w:r>
      <w:r w:rsidR="00AD633E">
        <w:rPr>
          <w:lang w:eastAsia="fr-FR"/>
        </w:rPr>
        <w:t xml:space="preserve">celle-ci </w:t>
      </w:r>
      <w:r w:rsidR="00B979EB">
        <w:rPr>
          <w:lang w:eastAsia="fr-FR"/>
        </w:rPr>
        <w:t xml:space="preserve">raccorder le réseau de distribution du </w:t>
      </w:r>
      <w:r w:rsidR="00B979EB" w:rsidRPr="00A61475">
        <w:rPr>
          <w:i/>
          <w:lang w:eastAsia="fr-FR"/>
        </w:rPr>
        <w:t>gölet</w:t>
      </w:r>
      <w:r w:rsidR="00B979EB">
        <w:rPr>
          <w:lang w:eastAsia="fr-FR"/>
        </w:rPr>
        <w:t xml:space="preserve"> à son propre périmètre</w:t>
      </w:r>
      <w:r w:rsidR="005D69B1">
        <w:rPr>
          <w:lang w:eastAsia="fr-FR"/>
        </w:rPr>
        <w:t xml:space="preserve"> </w:t>
      </w:r>
      <w:r w:rsidR="00B979EB">
        <w:rPr>
          <w:lang w:eastAsia="fr-FR"/>
        </w:rPr>
        <w:t>de manière non officielle</w:t>
      </w:r>
      <w:r w:rsidR="005D69B1">
        <w:rPr>
          <w:lang w:eastAsia="fr-FR"/>
        </w:rPr>
        <w:t>,</w:t>
      </w:r>
      <w:r w:rsidR="00B979EB">
        <w:rPr>
          <w:lang w:eastAsia="fr-FR"/>
        </w:rPr>
        <w:t xml:space="preserve"> p</w:t>
      </w:r>
      <w:r w:rsidR="005D69B1">
        <w:rPr>
          <w:lang w:eastAsia="fr-FR"/>
        </w:rPr>
        <w:t>lutôt que de laisser la mairie de district l’obtenir.</w:t>
      </w:r>
      <w:r w:rsidR="00B50222">
        <w:rPr>
          <w:lang w:eastAsia="fr-FR"/>
        </w:rPr>
        <w:t xml:space="preserve"> </w:t>
      </w:r>
      <w:r w:rsidR="00A61475">
        <w:rPr>
          <w:lang w:eastAsia="fr-FR"/>
        </w:rPr>
        <w:t>A Emiralem,</w:t>
      </w:r>
      <w:r w:rsidR="00C9719A">
        <w:rPr>
          <w:lang w:eastAsia="fr-FR"/>
        </w:rPr>
        <w:t xml:space="preserve"> où l’irrigation repose sur une utilisation intensive de forages privés individuels,</w:t>
      </w:r>
      <w:r w:rsidR="00A61475">
        <w:rPr>
          <w:lang w:eastAsia="fr-FR"/>
        </w:rPr>
        <w:t xml:space="preserve"> le DSI </w:t>
      </w:r>
      <w:r w:rsidR="00B50222">
        <w:rPr>
          <w:lang w:eastAsia="fr-FR"/>
        </w:rPr>
        <w:t xml:space="preserve">a </w:t>
      </w:r>
      <w:r w:rsidR="005C3156">
        <w:rPr>
          <w:lang w:eastAsia="fr-FR"/>
        </w:rPr>
        <w:t>essa</w:t>
      </w:r>
      <w:r w:rsidR="00B50222">
        <w:rPr>
          <w:lang w:eastAsia="fr-FR"/>
        </w:rPr>
        <w:t>yé</w:t>
      </w:r>
      <w:r w:rsidR="00A61475">
        <w:rPr>
          <w:lang w:eastAsia="fr-FR"/>
        </w:rPr>
        <w:t xml:space="preserve"> </w:t>
      </w:r>
      <w:r w:rsidR="0006327E">
        <w:rPr>
          <w:lang w:eastAsia="fr-FR"/>
        </w:rPr>
        <w:t xml:space="preserve">pendant des années </w:t>
      </w:r>
      <w:r w:rsidR="00A61475">
        <w:rPr>
          <w:lang w:eastAsia="fr-FR"/>
        </w:rPr>
        <w:t>de convaincre les irrigants</w:t>
      </w:r>
      <w:r w:rsidR="00C9719A">
        <w:rPr>
          <w:lang w:eastAsia="fr-FR"/>
        </w:rPr>
        <w:t xml:space="preserve"> </w:t>
      </w:r>
      <w:r w:rsidR="00A61475">
        <w:rPr>
          <w:lang w:eastAsia="fr-FR"/>
        </w:rPr>
        <w:t>de créer une coopérative</w:t>
      </w:r>
      <w:r w:rsidR="00C9719A">
        <w:rPr>
          <w:lang w:eastAsia="fr-FR"/>
        </w:rPr>
        <w:t>,</w:t>
      </w:r>
      <w:r w:rsidR="00A61475">
        <w:rPr>
          <w:lang w:eastAsia="fr-FR"/>
        </w:rPr>
        <w:t xml:space="preserve"> </w:t>
      </w:r>
      <w:r w:rsidR="00C9719A">
        <w:rPr>
          <w:lang w:eastAsia="fr-FR"/>
        </w:rPr>
        <w:t xml:space="preserve">en vain, </w:t>
      </w:r>
      <w:r w:rsidR="0006327E">
        <w:rPr>
          <w:lang w:eastAsia="fr-FR"/>
        </w:rPr>
        <w:t xml:space="preserve">et </w:t>
      </w:r>
      <w:r w:rsidR="006E1473">
        <w:rPr>
          <w:lang w:eastAsia="fr-FR"/>
        </w:rPr>
        <w:t xml:space="preserve">a </w:t>
      </w:r>
      <w:r w:rsidR="00C9719A">
        <w:rPr>
          <w:lang w:eastAsia="fr-FR"/>
        </w:rPr>
        <w:t xml:space="preserve">finalement </w:t>
      </w:r>
      <w:r w:rsidR="006E1473">
        <w:rPr>
          <w:lang w:eastAsia="fr-FR"/>
        </w:rPr>
        <w:t xml:space="preserve">toléré leur utilisation individuelle, gratuite et non déclarée de l’eau </w:t>
      </w:r>
      <w:r w:rsidR="00A61475">
        <w:rPr>
          <w:lang w:eastAsia="fr-FR"/>
        </w:rPr>
        <w:t xml:space="preserve">du </w:t>
      </w:r>
      <w:r w:rsidR="00A61475" w:rsidRPr="005C3156">
        <w:rPr>
          <w:i/>
          <w:lang w:eastAsia="fr-FR"/>
        </w:rPr>
        <w:t>gölet</w:t>
      </w:r>
      <w:r w:rsidR="00C9719A">
        <w:rPr>
          <w:lang w:eastAsia="fr-FR"/>
        </w:rPr>
        <w:t xml:space="preserve"> : </w:t>
      </w:r>
      <w:r w:rsidR="005C3156">
        <w:rPr>
          <w:lang w:eastAsia="fr-FR"/>
        </w:rPr>
        <w:t>la mairie de district</w:t>
      </w:r>
      <w:r w:rsidR="0093345E">
        <w:rPr>
          <w:lang w:eastAsia="fr-FR"/>
        </w:rPr>
        <w:t xml:space="preserve"> </w:t>
      </w:r>
      <w:r w:rsidR="008C777F">
        <w:rPr>
          <w:lang w:eastAsia="fr-FR"/>
        </w:rPr>
        <w:t>n’était pas une option</w:t>
      </w:r>
      <w:r w:rsidR="002450A0">
        <w:rPr>
          <w:lang w:eastAsia="fr-FR"/>
        </w:rPr>
        <w:t xml:space="preserve"> pour eux</w:t>
      </w:r>
      <w:r w:rsidR="009B305C">
        <w:rPr>
          <w:lang w:eastAsia="fr-FR"/>
        </w:rPr>
        <w:t>, n’étant pas intéressée et n’ayant pas d</w:t>
      </w:r>
      <w:r w:rsidR="004A08F9">
        <w:rPr>
          <w:lang w:eastAsia="fr-FR"/>
        </w:rPr>
        <w:t>’expérience de l’irrigation</w:t>
      </w:r>
      <w:r w:rsidR="0093345E">
        <w:rPr>
          <w:lang w:eastAsia="fr-FR"/>
        </w:rPr>
        <w:t>.</w:t>
      </w:r>
      <w:r w:rsidR="002450A0">
        <w:rPr>
          <w:lang w:eastAsia="fr-FR"/>
        </w:rPr>
        <w:t xml:space="preserve"> </w:t>
      </w:r>
    </w:p>
    <w:p w14:paraId="7BC0651B" w14:textId="619C4BBD" w:rsidR="0093345E" w:rsidRPr="00F335E1" w:rsidRDefault="008A33DA" w:rsidP="002450A0">
      <w:pPr>
        <w:spacing w:before="120" w:after="0"/>
        <w:jc w:val="both"/>
        <w:rPr>
          <w:lang w:eastAsia="fr-FR"/>
        </w:rPr>
      </w:pPr>
      <w:r>
        <w:rPr>
          <w:lang w:eastAsia="fr-FR"/>
        </w:rPr>
        <w:lastRenderedPageBreak/>
        <w:t>En l’absence</w:t>
      </w:r>
      <w:r w:rsidR="003A2296">
        <w:rPr>
          <w:lang w:eastAsia="fr-FR"/>
        </w:rPr>
        <w:t xml:space="preserve"> d’irrigation avant l’arrivée du </w:t>
      </w:r>
      <w:r w:rsidR="003A2296" w:rsidRPr="002450A0">
        <w:rPr>
          <w:i/>
          <w:lang w:eastAsia="fr-FR"/>
        </w:rPr>
        <w:t>gölet</w:t>
      </w:r>
      <w:r w:rsidR="003A2296">
        <w:rPr>
          <w:lang w:eastAsia="fr-FR"/>
        </w:rPr>
        <w:t xml:space="preserve">, le DSI promeut prioritairement </w:t>
      </w:r>
      <w:r w:rsidR="002450A0">
        <w:rPr>
          <w:lang w:eastAsia="fr-FR"/>
        </w:rPr>
        <w:t xml:space="preserve">la création </w:t>
      </w:r>
      <w:r w:rsidR="003A2296">
        <w:rPr>
          <w:lang w:eastAsia="fr-FR"/>
        </w:rPr>
        <w:t xml:space="preserve">de coopératives en </w:t>
      </w:r>
      <w:r w:rsidR="002450A0">
        <w:rPr>
          <w:lang w:eastAsia="fr-FR"/>
        </w:rPr>
        <w:t>faisant appel à des acteurs jugés fiables</w:t>
      </w:r>
      <w:r w:rsidR="00A243CC">
        <w:rPr>
          <w:lang w:eastAsia="fr-FR"/>
        </w:rPr>
        <w:t xml:space="preserve">, tels que les </w:t>
      </w:r>
      <w:r w:rsidR="00A243CC" w:rsidRPr="00A243CC">
        <w:rPr>
          <w:i/>
          <w:lang w:eastAsia="fr-FR"/>
        </w:rPr>
        <w:t>muhtar</w:t>
      </w:r>
      <w:r w:rsidR="00A243CC">
        <w:rPr>
          <w:lang w:eastAsia="fr-FR"/>
        </w:rPr>
        <w:t xml:space="preserve"> (autorités de quartier/village). </w:t>
      </w:r>
      <w:r w:rsidR="00CD50C4">
        <w:rPr>
          <w:lang w:eastAsia="fr-FR"/>
        </w:rPr>
        <w:t>A</w:t>
      </w:r>
      <w:r w:rsidR="00A243CC">
        <w:rPr>
          <w:lang w:eastAsia="fr-FR"/>
        </w:rPr>
        <w:t xml:space="preserve"> Kocaoba, village d’élevage, le </w:t>
      </w:r>
      <w:r w:rsidR="00A243CC" w:rsidRPr="00262362">
        <w:rPr>
          <w:i/>
          <w:lang w:eastAsia="fr-FR"/>
        </w:rPr>
        <w:t>muhtar</w:t>
      </w:r>
      <w:r w:rsidR="00C9719A">
        <w:rPr>
          <w:lang w:eastAsia="fr-FR"/>
        </w:rPr>
        <w:t>, se considérai</w:t>
      </w:r>
      <w:r w:rsidR="00AA313D">
        <w:rPr>
          <w:lang w:eastAsia="fr-FR"/>
        </w:rPr>
        <w:t>t « </w:t>
      </w:r>
      <w:r w:rsidR="00AA313D" w:rsidRPr="00AA313D">
        <w:rPr>
          <w:i/>
          <w:lang w:eastAsia="fr-FR"/>
        </w:rPr>
        <w:t>messager entre le village et l’extérieur</w:t>
      </w:r>
      <w:r w:rsidR="00AA313D">
        <w:rPr>
          <w:lang w:eastAsia="fr-FR"/>
        </w:rPr>
        <w:t> »</w:t>
      </w:r>
      <w:r w:rsidR="00C6333A">
        <w:rPr>
          <w:lang w:eastAsia="fr-FR"/>
        </w:rPr>
        <w:t xml:space="preserve"> et</w:t>
      </w:r>
      <w:r w:rsidR="00AA313D">
        <w:rPr>
          <w:lang w:eastAsia="fr-FR"/>
        </w:rPr>
        <w:t xml:space="preserve"> garant du « </w:t>
      </w:r>
      <w:r w:rsidR="00AA313D" w:rsidRPr="00CD50C4">
        <w:rPr>
          <w:i/>
          <w:lang w:eastAsia="fr-FR"/>
        </w:rPr>
        <w:t>développement du village</w:t>
      </w:r>
      <w:r w:rsidR="00AA313D">
        <w:rPr>
          <w:lang w:eastAsia="fr-FR"/>
        </w:rPr>
        <w:t> »</w:t>
      </w:r>
      <w:r w:rsidR="004A08F9">
        <w:rPr>
          <w:lang w:eastAsia="fr-FR"/>
        </w:rPr>
        <w:t xml:space="preserve"> (2017)</w:t>
      </w:r>
      <w:r w:rsidR="00C9719A">
        <w:rPr>
          <w:lang w:eastAsia="fr-FR"/>
        </w:rPr>
        <w:t>. Prendre</w:t>
      </w:r>
      <w:r w:rsidR="00A243CC">
        <w:rPr>
          <w:lang w:eastAsia="fr-FR"/>
        </w:rPr>
        <w:t xml:space="preserve"> la présidence de la nouvelle coopérative</w:t>
      </w:r>
      <w:r w:rsidR="00C9719A">
        <w:rPr>
          <w:lang w:eastAsia="fr-FR"/>
        </w:rPr>
        <w:t xml:space="preserve"> lui a permis d’étendre</w:t>
      </w:r>
      <w:r w:rsidR="00262362">
        <w:rPr>
          <w:lang w:eastAsia="fr-FR"/>
        </w:rPr>
        <w:t xml:space="preserve"> son réseau de relations en dehors du village et </w:t>
      </w:r>
      <w:r w:rsidR="00C9719A">
        <w:rPr>
          <w:lang w:eastAsia="fr-FR"/>
        </w:rPr>
        <w:t xml:space="preserve">de </w:t>
      </w:r>
      <w:r w:rsidR="00262362">
        <w:rPr>
          <w:lang w:eastAsia="fr-FR"/>
        </w:rPr>
        <w:t>renfor</w:t>
      </w:r>
      <w:r w:rsidR="00C9719A">
        <w:rPr>
          <w:lang w:eastAsia="fr-FR"/>
        </w:rPr>
        <w:t>cer</w:t>
      </w:r>
      <w:r w:rsidR="00262362">
        <w:rPr>
          <w:lang w:eastAsia="fr-FR"/>
        </w:rPr>
        <w:t xml:space="preserve"> sa légitimité en son sein</w:t>
      </w:r>
      <w:r w:rsidR="00C9719A">
        <w:rPr>
          <w:lang w:eastAsia="fr-FR"/>
        </w:rPr>
        <w:t xml:space="preserve">, notamment en </w:t>
      </w:r>
      <w:r w:rsidR="00CD1690">
        <w:rPr>
          <w:lang w:eastAsia="fr-FR"/>
        </w:rPr>
        <w:t>resserr</w:t>
      </w:r>
      <w:r w:rsidR="00C9719A">
        <w:rPr>
          <w:lang w:eastAsia="fr-FR"/>
        </w:rPr>
        <w:t>ant</w:t>
      </w:r>
      <w:r w:rsidR="00CD1690">
        <w:rPr>
          <w:lang w:eastAsia="fr-FR"/>
        </w:rPr>
        <w:t xml:space="preserve"> </w:t>
      </w:r>
      <w:r w:rsidR="00C6333A">
        <w:rPr>
          <w:lang w:eastAsia="fr-FR"/>
        </w:rPr>
        <w:t>s</w:t>
      </w:r>
      <w:r w:rsidR="00CD1690">
        <w:rPr>
          <w:lang w:eastAsia="fr-FR"/>
        </w:rPr>
        <w:t xml:space="preserve">es liens avec une grande entreprise agro-industrielle ayant ses serres à proximité du </w:t>
      </w:r>
      <w:r w:rsidR="00CD1690" w:rsidRPr="00CD1690">
        <w:rPr>
          <w:i/>
          <w:lang w:eastAsia="fr-FR"/>
        </w:rPr>
        <w:t>gölet</w:t>
      </w:r>
      <w:r w:rsidR="00262362">
        <w:rPr>
          <w:lang w:eastAsia="fr-FR"/>
        </w:rPr>
        <w:t xml:space="preserve">. A </w:t>
      </w:r>
      <w:r w:rsidR="003D38EA">
        <w:rPr>
          <w:lang w:eastAsia="fr-FR"/>
        </w:rPr>
        <w:t>Yenişakran</w:t>
      </w:r>
      <w:r w:rsidR="00262362">
        <w:rPr>
          <w:lang w:eastAsia="fr-FR"/>
        </w:rPr>
        <w:t xml:space="preserve">, </w:t>
      </w:r>
      <w:r w:rsidR="003D38EA">
        <w:rPr>
          <w:lang w:eastAsia="fr-FR"/>
        </w:rPr>
        <w:t xml:space="preserve">où l’activité agricole est devenue secondaire, </w:t>
      </w:r>
      <w:r w:rsidR="002C6E77">
        <w:rPr>
          <w:lang w:eastAsia="fr-FR"/>
        </w:rPr>
        <w:t xml:space="preserve">trois </w:t>
      </w:r>
      <w:r w:rsidR="003D38EA">
        <w:rPr>
          <w:lang w:eastAsia="fr-FR"/>
        </w:rPr>
        <w:t>acteurs-clés loca</w:t>
      </w:r>
      <w:r w:rsidR="005D28B7">
        <w:rPr>
          <w:lang w:eastAsia="fr-FR"/>
        </w:rPr>
        <w:t xml:space="preserve">ux </w:t>
      </w:r>
      <w:r w:rsidR="003D38EA">
        <w:rPr>
          <w:lang w:eastAsia="fr-FR"/>
        </w:rPr>
        <w:t>(</w:t>
      </w:r>
      <w:r w:rsidR="003D38EA" w:rsidRPr="00CD1690">
        <w:rPr>
          <w:i/>
          <w:lang w:eastAsia="fr-FR"/>
        </w:rPr>
        <w:t>muhtar</w:t>
      </w:r>
      <w:r w:rsidR="003D38EA">
        <w:rPr>
          <w:lang w:eastAsia="fr-FR"/>
        </w:rPr>
        <w:t xml:space="preserve">, ancien maire, président de la chambre d’agriculture) ont placé à la tête de la </w:t>
      </w:r>
      <w:r w:rsidR="00625985">
        <w:rPr>
          <w:lang w:eastAsia="fr-FR"/>
        </w:rPr>
        <w:t xml:space="preserve">nouvelle </w:t>
      </w:r>
      <w:r w:rsidR="003D38EA">
        <w:rPr>
          <w:lang w:eastAsia="fr-FR"/>
        </w:rPr>
        <w:t>coopérative un banquier à la retraite</w:t>
      </w:r>
      <w:r w:rsidR="002C6E77">
        <w:rPr>
          <w:lang w:eastAsia="fr-FR"/>
        </w:rPr>
        <w:t xml:space="preserve">. Celui-ci voulait </w:t>
      </w:r>
      <w:r w:rsidR="00625985">
        <w:rPr>
          <w:lang w:eastAsia="fr-FR"/>
        </w:rPr>
        <w:t xml:space="preserve">conduire des </w:t>
      </w:r>
      <w:r w:rsidR="002C6E77">
        <w:rPr>
          <w:lang w:eastAsia="fr-FR"/>
        </w:rPr>
        <w:t xml:space="preserve">projets sociaux pour le village et parlait le même langage que le </w:t>
      </w:r>
      <w:r w:rsidR="00625985">
        <w:rPr>
          <w:lang w:eastAsia="fr-FR"/>
        </w:rPr>
        <w:t>DSI</w:t>
      </w:r>
      <w:r w:rsidR="002C6E77">
        <w:rPr>
          <w:lang w:eastAsia="fr-FR"/>
        </w:rPr>
        <w:t>,</w:t>
      </w:r>
      <w:r w:rsidR="00625985">
        <w:rPr>
          <w:lang w:eastAsia="fr-FR"/>
        </w:rPr>
        <w:t xml:space="preserve"> </w:t>
      </w:r>
      <w:r w:rsidR="002C6E77">
        <w:rPr>
          <w:lang w:eastAsia="fr-FR"/>
        </w:rPr>
        <w:t xml:space="preserve">qui </w:t>
      </w:r>
      <w:r w:rsidR="005D28B7">
        <w:rPr>
          <w:lang w:eastAsia="fr-FR"/>
        </w:rPr>
        <w:t xml:space="preserve">le </w:t>
      </w:r>
      <w:r w:rsidR="00C6333A">
        <w:rPr>
          <w:lang w:eastAsia="fr-FR"/>
        </w:rPr>
        <w:t>qualifia</w:t>
      </w:r>
      <w:r w:rsidR="002C6E77">
        <w:rPr>
          <w:lang w:eastAsia="fr-FR"/>
        </w:rPr>
        <w:t>i</w:t>
      </w:r>
      <w:r w:rsidR="00C6333A">
        <w:rPr>
          <w:lang w:eastAsia="fr-FR"/>
        </w:rPr>
        <w:t>t de</w:t>
      </w:r>
      <w:r w:rsidR="005D28B7">
        <w:rPr>
          <w:lang w:eastAsia="fr-FR"/>
        </w:rPr>
        <w:t xml:space="preserve"> « </w:t>
      </w:r>
      <w:r w:rsidR="005D28B7" w:rsidRPr="005D28B7">
        <w:rPr>
          <w:i/>
          <w:lang w:eastAsia="fr-FR"/>
        </w:rPr>
        <w:t>bon gestionnaire</w:t>
      </w:r>
      <w:r w:rsidR="005D28B7">
        <w:rPr>
          <w:lang w:eastAsia="fr-FR"/>
        </w:rPr>
        <w:t> »</w:t>
      </w:r>
      <w:r w:rsidR="00487FCA">
        <w:rPr>
          <w:lang w:eastAsia="fr-FR"/>
        </w:rPr>
        <w:t xml:space="preserve"> (2017)</w:t>
      </w:r>
      <w:r w:rsidR="002C6E77">
        <w:rPr>
          <w:lang w:eastAsia="fr-FR"/>
        </w:rPr>
        <w:t>.</w:t>
      </w:r>
    </w:p>
    <w:p w14:paraId="1EF3A6E9" w14:textId="77777777" w:rsidR="008D01E7" w:rsidRDefault="003673D1" w:rsidP="00CD1690">
      <w:pPr>
        <w:pStyle w:val="Titre2"/>
        <w:ind w:left="576"/>
      </w:pPr>
      <w:r>
        <w:t>O</w:t>
      </w:r>
      <w:r w:rsidR="00E34BCC">
        <w:t>pportunités de pouvoir</w:t>
      </w:r>
      <w:r>
        <w:t xml:space="preserve"> et émergence de nouveaux acteurs</w:t>
      </w:r>
    </w:p>
    <w:p w14:paraId="1139E2E9" w14:textId="77777777" w:rsidR="002C6E77" w:rsidRDefault="001130C7" w:rsidP="001130C7">
      <w:pPr>
        <w:spacing w:before="120"/>
        <w:jc w:val="both"/>
        <w:rPr>
          <w:lang w:eastAsia="fr-FR"/>
        </w:rPr>
      </w:pPr>
      <w:r>
        <w:rPr>
          <w:lang w:eastAsia="fr-FR"/>
        </w:rPr>
        <w:t xml:space="preserve">Malgré la préférence du DSI pour les coopératives et l’implication d’élites existantes dans </w:t>
      </w:r>
      <w:r w:rsidR="0095625A">
        <w:rPr>
          <w:lang w:eastAsia="fr-FR"/>
        </w:rPr>
        <w:t xml:space="preserve">la gestion des </w:t>
      </w:r>
      <w:r w:rsidR="0095625A" w:rsidRPr="003673D1">
        <w:rPr>
          <w:i/>
          <w:lang w:eastAsia="fr-FR"/>
        </w:rPr>
        <w:t>gölet</w:t>
      </w:r>
      <w:r w:rsidR="0095625A">
        <w:rPr>
          <w:lang w:eastAsia="fr-FR"/>
        </w:rPr>
        <w:t>, l’arrivée d’une nouvelle ressource a aussi servi de levier à de nouveaux repreneurs</w:t>
      </w:r>
      <w:r w:rsidR="00862585">
        <w:rPr>
          <w:lang w:eastAsia="fr-FR"/>
        </w:rPr>
        <w:t>.</w:t>
      </w:r>
      <w:r w:rsidR="00565600">
        <w:rPr>
          <w:lang w:eastAsia="fr-FR"/>
        </w:rPr>
        <w:t xml:space="preserve"> P</w:t>
      </w:r>
      <w:r w:rsidR="00862585">
        <w:rPr>
          <w:lang w:eastAsia="fr-FR"/>
        </w:rPr>
        <w:t xml:space="preserve">lusieurs </w:t>
      </w:r>
      <w:r w:rsidR="00862585" w:rsidRPr="00862585">
        <w:rPr>
          <w:i/>
          <w:lang w:eastAsia="fr-FR"/>
        </w:rPr>
        <w:t>gölet</w:t>
      </w:r>
      <w:r w:rsidR="00862585">
        <w:rPr>
          <w:lang w:eastAsia="fr-FR"/>
        </w:rPr>
        <w:t xml:space="preserve"> ont été construits</w:t>
      </w:r>
      <w:r w:rsidR="00565600">
        <w:rPr>
          <w:lang w:eastAsia="fr-FR"/>
        </w:rPr>
        <w:t xml:space="preserve"> dans le district de Kemalpaşa</w:t>
      </w:r>
      <w:r w:rsidR="00487FCA">
        <w:rPr>
          <w:lang w:eastAsia="fr-FR"/>
        </w:rPr>
        <w:t> :</w:t>
      </w:r>
      <w:r w:rsidR="00565600">
        <w:rPr>
          <w:lang w:eastAsia="fr-FR"/>
        </w:rPr>
        <w:t xml:space="preserve"> </w:t>
      </w:r>
      <w:r w:rsidR="00B40309">
        <w:rPr>
          <w:lang w:eastAsia="fr-FR"/>
        </w:rPr>
        <w:t>à Yukarıkızılca, une coopérative récente et endettée n’avait pas espoir de récupérer le projet</w:t>
      </w:r>
      <w:r w:rsidR="002C6E77">
        <w:rPr>
          <w:lang w:eastAsia="fr-FR"/>
        </w:rPr>
        <w:t>,</w:t>
      </w:r>
      <w:r w:rsidR="00565600">
        <w:rPr>
          <w:lang w:eastAsia="fr-FR"/>
        </w:rPr>
        <w:t xml:space="preserve"> tandis qu’</w:t>
      </w:r>
      <w:r w:rsidR="00243784">
        <w:rPr>
          <w:lang w:eastAsia="fr-FR"/>
        </w:rPr>
        <w:t xml:space="preserve">à Savanda, </w:t>
      </w:r>
      <w:r w:rsidR="00565600">
        <w:rPr>
          <w:lang w:eastAsia="fr-FR"/>
        </w:rPr>
        <w:t>aucune</w:t>
      </w:r>
      <w:r w:rsidR="00243784">
        <w:rPr>
          <w:lang w:eastAsia="fr-FR"/>
        </w:rPr>
        <w:t xml:space="preserve"> coopérative n’a été créée</w:t>
      </w:r>
      <w:r w:rsidR="009C1DAC">
        <w:rPr>
          <w:lang w:eastAsia="fr-FR"/>
        </w:rPr>
        <w:t>. D</w:t>
      </w:r>
      <w:r w:rsidR="00243784">
        <w:rPr>
          <w:lang w:eastAsia="fr-FR"/>
        </w:rPr>
        <w:t xml:space="preserve">ans les deux cas, les ingénieurs du DSI ont </w:t>
      </w:r>
      <w:r w:rsidR="00D82C9D">
        <w:rPr>
          <w:lang w:eastAsia="fr-FR"/>
        </w:rPr>
        <w:t>dû</w:t>
      </w:r>
      <w:r w:rsidR="00243784">
        <w:rPr>
          <w:lang w:eastAsia="fr-FR"/>
        </w:rPr>
        <w:t xml:space="preserve"> arrêter tout transfert</w:t>
      </w:r>
      <w:r w:rsidR="00D82C9D">
        <w:rPr>
          <w:lang w:eastAsia="fr-FR"/>
        </w:rPr>
        <w:t xml:space="preserve"> de gestion</w:t>
      </w:r>
      <w:r w:rsidR="00243784">
        <w:rPr>
          <w:lang w:eastAsia="fr-FR"/>
        </w:rPr>
        <w:t xml:space="preserve"> à</w:t>
      </w:r>
      <w:r w:rsidR="002C6E77">
        <w:rPr>
          <w:lang w:eastAsia="fr-FR"/>
        </w:rPr>
        <w:t xml:space="preserve"> la demande de leur hiérarchie car </w:t>
      </w:r>
      <w:r w:rsidR="00243784">
        <w:rPr>
          <w:lang w:eastAsia="fr-FR"/>
        </w:rPr>
        <w:t>la municipalité de district (</w:t>
      </w:r>
      <w:r w:rsidR="00B87710">
        <w:rPr>
          <w:lang w:eastAsia="fr-FR"/>
        </w:rPr>
        <w:t>parti au</w:t>
      </w:r>
      <w:r w:rsidR="00243784">
        <w:rPr>
          <w:lang w:eastAsia="fr-FR"/>
        </w:rPr>
        <w:t xml:space="preserve"> pouvoir)</w:t>
      </w:r>
      <w:r w:rsidR="00B87710">
        <w:rPr>
          <w:lang w:eastAsia="fr-FR"/>
        </w:rPr>
        <w:t xml:space="preserve"> a</w:t>
      </w:r>
      <w:r w:rsidR="002C6E77">
        <w:rPr>
          <w:lang w:eastAsia="fr-FR"/>
        </w:rPr>
        <w:t>vait</w:t>
      </w:r>
      <w:r w:rsidR="00B87710">
        <w:rPr>
          <w:lang w:eastAsia="fr-FR"/>
        </w:rPr>
        <w:t xml:space="preserve"> demandé à récupérer les ouvrages et déjà annoncé « ses » projets</w:t>
      </w:r>
      <w:r w:rsidR="00D82C9D">
        <w:rPr>
          <w:lang w:eastAsia="fr-FR"/>
        </w:rPr>
        <w:t xml:space="preserve"> au public</w:t>
      </w:r>
      <w:r w:rsidR="00BD67A8">
        <w:rPr>
          <w:lang w:eastAsia="fr-FR"/>
        </w:rPr>
        <w:t xml:space="preserve"> (</w:t>
      </w:r>
      <w:r w:rsidR="00B87710">
        <w:rPr>
          <w:lang w:eastAsia="fr-FR"/>
        </w:rPr>
        <w:t xml:space="preserve">en présentant </w:t>
      </w:r>
      <w:r w:rsidR="00D82C9D">
        <w:rPr>
          <w:lang w:eastAsia="fr-FR"/>
        </w:rPr>
        <w:t>d</w:t>
      </w:r>
      <w:r w:rsidR="00B87710">
        <w:rPr>
          <w:lang w:eastAsia="fr-FR"/>
        </w:rPr>
        <w:t xml:space="preserve">es </w:t>
      </w:r>
      <w:r w:rsidR="00D82C9D">
        <w:rPr>
          <w:lang w:eastAsia="fr-FR"/>
        </w:rPr>
        <w:t xml:space="preserve">futures </w:t>
      </w:r>
      <w:r w:rsidR="00B87710">
        <w:rPr>
          <w:lang w:eastAsia="fr-FR"/>
        </w:rPr>
        <w:t xml:space="preserve">aires de loisirs </w:t>
      </w:r>
      <w:r w:rsidR="00D82C9D">
        <w:rPr>
          <w:lang w:eastAsia="fr-FR"/>
        </w:rPr>
        <w:t>au bord des lacs plutôt que l’irrigation).</w:t>
      </w:r>
      <w:r w:rsidR="00E63815">
        <w:rPr>
          <w:lang w:eastAsia="fr-FR"/>
        </w:rPr>
        <w:t xml:space="preserve"> </w:t>
      </w:r>
    </w:p>
    <w:p w14:paraId="0456F3EB" w14:textId="132B79B2" w:rsidR="005E6C72" w:rsidRDefault="00E63815" w:rsidP="001130C7">
      <w:pPr>
        <w:spacing w:before="120"/>
        <w:jc w:val="both"/>
        <w:rPr>
          <w:lang w:eastAsia="fr-FR"/>
        </w:rPr>
      </w:pPr>
      <w:r>
        <w:rPr>
          <w:lang w:eastAsia="fr-FR"/>
        </w:rPr>
        <w:t xml:space="preserve">Par ailleurs, les </w:t>
      </w:r>
      <w:r w:rsidRPr="00BD67A8">
        <w:rPr>
          <w:i/>
          <w:lang w:eastAsia="fr-FR"/>
        </w:rPr>
        <w:t>gölet</w:t>
      </w:r>
      <w:r>
        <w:rPr>
          <w:lang w:eastAsia="fr-FR"/>
        </w:rPr>
        <w:t xml:space="preserve"> permettent également à des individus de se positionner dans les configurations sociales locales. A Emiralem, </w:t>
      </w:r>
      <w:r w:rsidR="000F4A19">
        <w:rPr>
          <w:lang w:eastAsia="fr-FR"/>
        </w:rPr>
        <w:t>un</w:t>
      </w:r>
      <w:r>
        <w:rPr>
          <w:lang w:eastAsia="fr-FR"/>
        </w:rPr>
        <w:t xml:space="preserve"> grand propriétaire </w:t>
      </w:r>
      <w:r w:rsidR="006B5A91">
        <w:rPr>
          <w:lang w:eastAsia="fr-FR"/>
        </w:rPr>
        <w:t xml:space="preserve">dont les terres sont majoritairement </w:t>
      </w:r>
      <w:r w:rsidR="00C83FAF">
        <w:rPr>
          <w:lang w:eastAsia="fr-FR"/>
        </w:rPr>
        <w:t xml:space="preserve">situées </w:t>
      </w:r>
      <w:r w:rsidR="006B5A91">
        <w:rPr>
          <w:lang w:eastAsia="fr-FR"/>
        </w:rPr>
        <w:t>dans le périmètre irrigué du projet</w:t>
      </w:r>
      <w:r>
        <w:rPr>
          <w:lang w:eastAsia="fr-FR"/>
        </w:rPr>
        <w:t xml:space="preserve"> s’est déclaré prêt à créer</w:t>
      </w:r>
      <w:r w:rsidR="006B5A91">
        <w:rPr>
          <w:lang w:eastAsia="fr-FR"/>
        </w:rPr>
        <w:t xml:space="preserve"> une coopérative si le DSI décidait d’</w:t>
      </w:r>
      <w:r w:rsidR="000F4A19">
        <w:rPr>
          <w:lang w:eastAsia="fr-FR"/>
        </w:rPr>
        <w:t>empêcher</w:t>
      </w:r>
      <w:r w:rsidR="006B5A91">
        <w:rPr>
          <w:lang w:eastAsia="fr-FR"/>
        </w:rPr>
        <w:t xml:space="preserve"> l’utilisation individuelle et gratuite du </w:t>
      </w:r>
      <w:r w:rsidR="006B5A91" w:rsidRPr="006B5A91">
        <w:rPr>
          <w:i/>
          <w:lang w:eastAsia="fr-FR"/>
        </w:rPr>
        <w:t>gölet</w:t>
      </w:r>
      <w:r w:rsidR="002C6E77">
        <w:rPr>
          <w:lang w:eastAsia="fr-FR"/>
        </w:rPr>
        <w:t xml:space="preserve"> par tous</w:t>
      </w:r>
      <w:r w:rsidR="000F4A19">
        <w:rPr>
          <w:lang w:eastAsia="fr-FR"/>
        </w:rPr>
        <w:t xml:space="preserve">, et deux plus petits agriculteurs y ont également vu une opportunité de </w:t>
      </w:r>
      <w:r w:rsidR="00047DC3">
        <w:rPr>
          <w:lang w:eastAsia="fr-FR"/>
        </w:rPr>
        <w:t>se hisser socialement dans le village. A Süleymanli</w:t>
      </w:r>
      <w:r w:rsidR="00F00648">
        <w:rPr>
          <w:lang w:eastAsia="fr-FR"/>
        </w:rPr>
        <w:t xml:space="preserve"> enfin</w:t>
      </w:r>
      <w:r w:rsidR="00047DC3">
        <w:rPr>
          <w:lang w:eastAsia="fr-FR"/>
        </w:rPr>
        <w:t>, un irrigant s’est fait élire président de coopérative</w:t>
      </w:r>
      <w:r w:rsidR="006C005E">
        <w:rPr>
          <w:lang w:eastAsia="fr-FR"/>
        </w:rPr>
        <w:t xml:space="preserve"> (inactive</w:t>
      </w:r>
      <w:r w:rsidR="00CD594B">
        <w:rPr>
          <w:lang w:eastAsia="fr-FR"/>
        </w:rPr>
        <w:t xml:space="preserve"> depuis plus de vingt ans</w:t>
      </w:r>
      <w:r w:rsidR="006C005E">
        <w:rPr>
          <w:lang w:eastAsia="fr-FR"/>
        </w:rPr>
        <w:t xml:space="preserve"> car endettée)</w:t>
      </w:r>
      <w:r w:rsidR="000E4985">
        <w:rPr>
          <w:lang w:eastAsia="fr-FR"/>
        </w:rPr>
        <w:t xml:space="preserve"> et</w:t>
      </w:r>
      <w:r w:rsidR="00047DC3">
        <w:rPr>
          <w:lang w:eastAsia="fr-FR"/>
        </w:rPr>
        <w:t xml:space="preserve"> </w:t>
      </w:r>
      <w:r w:rsidR="000E4985" w:rsidRPr="006C005E">
        <w:rPr>
          <w:i/>
          <w:lang w:eastAsia="fr-FR"/>
        </w:rPr>
        <w:t>muhtar</w:t>
      </w:r>
      <w:r w:rsidR="000E4985">
        <w:rPr>
          <w:lang w:eastAsia="fr-FR"/>
        </w:rPr>
        <w:t xml:space="preserve"> </w:t>
      </w:r>
      <w:r w:rsidR="00C83FAF">
        <w:rPr>
          <w:lang w:eastAsia="fr-FR"/>
        </w:rPr>
        <w:t xml:space="preserve">dans le même temps, </w:t>
      </w:r>
      <w:r w:rsidR="006C005E">
        <w:rPr>
          <w:lang w:eastAsia="fr-FR"/>
        </w:rPr>
        <w:t>sur la promesse de rembourser la dette</w:t>
      </w:r>
      <w:r w:rsidR="000E4985">
        <w:rPr>
          <w:lang w:eastAsia="fr-FR"/>
        </w:rPr>
        <w:t xml:space="preserve"> de la coopérative</w:t>
      </w:r>
      <w:r w:rsidR="006C005E">
        <w:rPr>
          <w:lang w:eastAsia="fr-FR"/>
        </w:rPr>
        <w:t xml:space="preserve"> pour récupérer le </w:t>
      </w:r>
      <w:r w:rsidR="006C005E" w:rsidRPr="006C005E">
        <w:rPr>
          <w:i/>
          <w:lang w:eastAsia="fr-FR"/>
        </w:rPr>
        <w:t>gölet</w:t>
      </w:r>
      <w:r w:rsidR="006C005E">
        <w:rPr>
          <w:lang w:eastAsia="fr-FR"/>
        </w:rPr>
        <w:t xml:space="preserve">. </w:t>
      </w:r>
      <w:r w:rsidR="00F91448">
        <w:rPr>
          <w:lang w:eastAsia="fr-FR"/>
        </w:rPr>
        <w:t xml:space="preserve">Se rendant à Ankara pour faire valoir ses réseaux politiques, il a obtenu </w:t>
      </w:r>
      <w:r w:rsidR="007D77FE">
        <w:rPr>
          <w:lang w:eastAsia="fr-FR"/>
        </w:rPr>
        <w:t>la gestion de l’ouvrage de pair</w:t>
      </w:r>
      <w:bookmarkStart w:id="0" w:name="_GoBack"/>
      <w:bookmarkEnd w:id="0"/>
      <w:r w:rsidR="00F91448">
        <w:rPr>
          <w:lang w:eastAsia="fr-FR"/>
        </w:rPr>
        <w:t xml:space="preserve"> avec celle d’une aire de pique-nique</w:t>
      </w:r>
      <w:r w:rsidR="000E4985">
        <w:rPr>
          <w:lang w:eastAsia="fr-FR"/>
        </w:rPr>
        <w:t xml:space="preserve"> </w:t>
      </w:r>
      <w:r w:rsidR="000E509B">
        <w:rPr>
          <w:lang w:eastAsia="fr-FR"/>
        </w:rPr>
        <w:t xml:space="preserve">fortement rémunératrice </w:t>
      </w:r>
      <w:r w:rsidR="000E4985">
        <w:rPr>
          <w:lang w:eastAsia="fr-FR"/>
        </w:rPr>
        <w:t>à proximité</w:t>
      </w:r>
      <w:r w:rsidR="000E509B">
        <w:rPr>
          <w:lang w:eastAsia="fr-FR"/>
        </w:rPr>
        <w:t>, qui était</w:t>
      </w:r>
      <w:r w:rsidR="00F91448">
        <w:rPr>
          <w:lang w:eastAsia="fr-FR"/>
        </w:rPr>
        <w:t xml:space="preserve"> initialement destinée à </w:t>
      </w:r>
      <w:r w:rsidR="000E509B">
        <w:rPr>
          <w:lang w:eastAsia="fr-FR"/>
        </w:rPr>
        <w:t>la</w:t>
      </w:r>
      <w:r w:rsidR="00F91448">
        <w:rPr>
          <w:lang w:eastAsia="fr-FR"/>
        </w:rPr>
        <w:t xml:space="preserve"> municipalité</w:t>
      </w:r>
      <w:r w:rsidR="000E509B">
        <w:rPr>
          <w:lang w:eastAsia="fr-FR"/>
        </w:rPr>
        <w:t xml:space="preserve"> de district</w:t>
      </w:r>
      <w:r w:rsidR="00F91448">
        <w:rPr>
          <w:lang w:eastAsia="fr-FR"/>
        </w:rPr>
        <w:t>.</w:t>
      </w:r>
      <w:r w:rsidR="005E6C72">
        <w:rPr>
          <w:lang w:eastAsia="fr-FR"/>
        </w:rPr>
        <w:t xml:space="preserve"> </w:t>
      </w:r>
      <w:r w:rsidR="00406405">
        <w:rPr>
          <w:lang w:eastAsia="fr-FR"/>
        </w:rPr>
        <w:t xml:space="preserve">Ces exemples </w:t>
      </w:r>
      <w:r w:rsidR="009943B6">
        <w:rPr>
          <w:lang w:eastAsia="fr-FR"/>
        </w:rPr>
        <w:t xml:space="preserve">montrent </w:t>
      </w:r>
      <w:r w:rsidR="000E509B">
        <w:rPr>
          <w:lang w:eastAsia="fr-FR"/>
        </w:rPr>
        <w:t>comment</w:t>
      </w:r>
      <w:r w:rsidR="009943B6">
        <w:rPr>
          <w:lang w:eastAsia="fr-FR"/>
        </w:rPr>
        <w:t xml:space="preserve"> le</w:t>
      </w:r>
      <w:r w:rsidR="00406405">
        <w:rPr>
          <w:lang w:eastAsia="fr-FR"/>
        </w:rPr>
        <w:t xml:space="preserve">s acteurs saisissent </w:t>
      </w:r>
      <w:r w:rsidR="008A7FC8">
        <w:rPr>
          <w:lang w:eastAsia="fr-FR"/>
        </w:rPr>
        <w:t>de</w:t>
      </w:r>
      <w:r w:rsidR="009943B6">
        <w:rPr>
          <w:lang w:eastAsia="fr-FR"/>
        </w:rPr>
        <w:t xml:space="preserve">s </w:t>
      </w:r>
      <w:r w:rsidR="00406405">
        <w:rPr>
          <w:lang w:eastAsia="fr-FR"/>
        </w:rPr>
        <w:t xml:space="preserve">opportunités </w:t>
      </w:r>
      <w:r w:rsidR="00792C68">
        <w:rPr>
          <w:lang w:eastAsia="fr-FR"/>
        </w:rPr>
        <w:t xml:space="preserve">de pouvoir </w:t>
      </w:r>
      <w:r w:rsidR="000E509B">
        <w:rPr>
          <w:lang w:eastAsia="fr-FR"/>
        </w:rPr>
        <w:t xml:space="preserve">à </w:t>
      </w:r>
      <w:r w:rsidR="00792C68">
        <w:rPr>
          <w:lang w:eastAsia="fr-FR"/>
        </w:rPr>
        <w:t>l’arrivée d’infrastructures grâce à des réseaux</w:t>
      </w:r>
      <w:r w:rsidR="00501933">
        <w:rPr>
          <w:lang w:eastAsia="fr-FR"/>
        </w:rPr>
        <w:t xml:space="preserve"> </w:t>
      </w:r>
      <w:r w:rsidR="00792C68">
        <w:rPr>
          <w:lang w:eastAsia="fr-FR"/>
        </w:rPr>
        <w:t>locaux et supra</w:t>
      </w:r>
      <w:r w:rsidR="007F1EAE">
        <w:rPr>
          <w:lang w:eastAsia="fr-FR"/>
        </w:rPr>
        <w:t>-</w:t>
      </w:r>
      <w:r w:rsidR="00792C68">
        <w:rPr>
          <w:lang w:eastAsia="fr-FR"/>
        </w:rPr>
        <w:t>locaux</w:t>
      </w:r>
      <w:r w:rsidR="007F1EAE">
        <w:rPr>
          <w:lang w:eastAsia="fr-FR"/>
        </w:rPr>
        <w:t xml:space="preserve">. </w:t>
      </w:r>
    </w:p>
    <w:p w14:paraId="16D8257D" w14:textId="77777777" w:rsidR="00666F74" w:rsidRPr="00911CDB" w:rsidRDefault="00666F74" w:rsidP="00666F74">
      <w:pPr>
        <w:pStyle w:val="Titre1"/>
        <w:spacing w:after="120"/>
      </w:pPr>
      <w:r>
        <w:t>Conclusion</w:t>
      </w:r>
    </w:p>
    <w:p w14:paraId="7D22D8D7" w14:textId="006D770C" w:rsidR="00406405" w:rsidRPr="000F4A19" w:rsidRDefault="003F1CB5" w:rsidP="001130C7">
      <w:pPr>
        <w:spacing w:before="120"/>
        <w:jc w:val="both"/>
        <w:rPr>
          <w:lang w:eastAsia="fr-FR"/>
        </w:rPr>
      </w:pPr>
      <w:r>
        <w:rPr>
          <w:lang w:eastAsia="fr-FR"/>
        </w:rPr>
        <w:t xml:space="preserve">En complément des recherches sur </w:t>
      </w:r>
      <w:r w:rsidR="000E509B">
        <w:rPr>
          <w:lang w:eastAsia="fr-FR"/>
        </w:rPr>
        <w:t xml:space="preserve">les processus de formation de l’Etat à travers </w:t>
      </w:r>
      <w:r>
        <w:rPr>
          <w:lang w:eastAsia="fr-FR"/>
        </w:rPr>
        <w:t xml:space="preserve">les projets hydrauliques contestés en Turquie, </w:t>
      </w:r>
      <w:r w:rsidR="00684FD1">
        <w:rPr>
          <w:lang w:eastAsia="fr-FR"/>
        </w:rPr>
        <w:t xml:space="preserve">des projets plus consensuels comme les </w:t>
      </w:r>
      <w:r w:rsidR="00684FD1" w:rsidRPr="000A0376">
        <w:rPr>
          <w:i/>
          <w:lang w:eastAsia="fr-FR"/>
        </w:rPr>
        <w:t>gölet</w:t>
      </w:r>
      <w:r w:rsidR="00684FD1">
        <w:rPr>
          <w:lang w:eastAsia="fr-FR"/>
        </w:rPr>
        <w:t xml:space="preserve"> fournissent </w:t>
      </w:r>
      <w:r w:rsidR="000E509B">
        <w:rPr>
          <w:lang w:eastAsia="fr-FR"/>
        </w:rPr>
        <w:t xml:space="preserve">aussi </w:t>
      </w:r>
      <w:r w:rsidR="00684FD1">
        <w:rPr>
          <w:lang w:eastAsia="fr-FR"/>
        </w:rPr>
        <w:t xml:space="preserve">des matériaux riches pour analyser </w:t>
      </w:r>
      <w:r w:rsidR="000A0376">
        <w:rPr>
          <w:lang w:eastAsia="fr-FR"/>
        </w:rPr>
        <w:t>la construction d</w:t>
      </w:r>
      <w:r w:rsidR="00684FD1">
        <w:rPr>
          <w:lang w:eastAsia="fr-FR"/>
        </w:rPr>
        <w:t>es relations Etat-communautés et le façonnage ou la formalisation d’institutions</w:t>
      </w:r>
      <w:r w:rsidR="000E509B">
        <w:rPr>
          <w:lang w:eastAsia="fr-FR"/>
        </w:rPr>
        <w:t xml:space="preserve"> de gestion de l’eau.</w:t>
      </w:r>
      <w:r w:rsidR="00417C7A">
        <w:rPr>
          <w:lang w:eastAsia="fr-FR"/>
        </w:rPr>
        <w:t xml:space="preserve"> </w:t>
      </w:r>
      <w:r w:rsidR="00305437">
        <w:rPr>
          <w:lang w:eastAsia="fr-FR"/>
        </w:rPr>
        <w:t xml:space="preserve">Regarder la complexité des configurations relationnelles au niveau local </w:t>
      </w:r>
      <w:r w:rsidR="000E509B">
        <w:rPr>
          <w:lang w:eastAsia="fr-FR"/>
        </w:rPr>
        <w:lastRenderedPageBreak/>
        <w:t xml:space="preserve">permet de </w:t>
      </w:r>
      <w:r w:rsidR="00305437">
        <w:rPr>
          <w:lang w:eastAsia="fr-FR"/>
        </w:rPr>
        <w:t>nuance</w:t>
      </w:r>
      <w:r w:rsidR="000E509B">
        <w:rPr>
          <w:lang w:eastAsia="fr-FR"/>
        </w:rPr>
        <w:t>r</w:t>
      </w:r>
      <w:r w:rsidR="00305437">
        <w:rPr>
          <w:lang w:eastAsia="fr-FR"/>
        </w:rPr>
        <w:t xml:space="preserve"> une vision de l’Etat déconnecté des</w:t>
      </w:r>
      <w:r w:rsidR="000E509B">
        <w:rPr>
          <w:lang w:eastAsia="fr-FR"/>
        </w:rPr>
        <w:t xml:space="preserve"> communautés locales. L’étude de cette politique du quotidien </w:t>
      </w:r>
      <w:r w:rsidR="00305437">
        <w:rPr>
          <w:lang w:eastAsia="fr-FR"/>
        </w:rPr>
        <w:t xml:space="preserve">implique </w:t>
      </w:r>
      <w:r w:rsidR="000E509B">
        <w:rPr>
          <w:lang w:eastAsia="fr-FR"/>
        </w:rPr>
        <w:t xml:space="preserve">toutefois </w:t>
      </w:r>
      <w:r w:rsidR="00305437">
        <w:rPr>
          <w:lang w:eastAsia="fr-FR"/>
        </w:rPr>
        <w:t>de comprendre ces arrangements sociaux comme enchevêtrés dans contextes socio-politiques plus larges.</w:t>
      </w:r>
    </w:p>
    <w:p w14:paraId="3CE5A54B" w14:textId="77777777" w:rsidR="00F73FBD" w:rsidRPr="00911CDB" w:rsidRDefault="00F73FBD" w:rsidP="00AE44A3">
      <w:pPr>
        <w:pStyle w:val="Normaltiret"/>
        <w:numPr>
          <w:ilvl w:val="0"/>
          <w:numId w:val="0"/>
        </w:numPr>
        <w:ind w:left="360"/>
      </w:pPr>
    </w:p>
    <w:p w14:paraId="51030B62" w14:textId="77777777" w:rsidR="00F73FBD" w:rsidRPr="00911CDB" w:rsidRDefault="00F73FBD" w:rsidP="00E7516E">
      <w:pPr>
        <w:pStyle w:val="Titre1"/>
        <w:numPr>
          <w:ilvl w:val="0"/>
          <w:numId w:val="0"/>
        </w:numPr>
        <w:spacing w:after="120"/>
        <w:ind w:left="432" w:hanging="432"/>
      </w:pPr>
      <w:r w:rsidRPr="00911CDB">
        <w:t>Bibliographie</w:t>
      </w:r>
      <w:r w:rsidR="004E3DB8">
        <w:t xml:space="preserve"> resumée (1 page)</w:t>
      </w:r>
    </w:p>
    <w:p w14:paraId="7CD87FF8" w14:textId="77777777" w:rsidR="00CA343D" w:rsidRDefault="00CA343D" w:rsidP="00E7516E">
      <w:pPr>
        <w:spacing w:after="180"/>
        <w:ind w:left="284" w:hanging="284"/>
        <w:jc w:val="both"/>
        <w:rPr>
          <w:rStyle w:val="Rfrenceintense"/>
        </w:rPr>
      </w:pPr>
      <w:r w:rsidRPr="00CA343D">
        <w:rPr>
          <w:lang w:val="en-GB"/>
        </w:rPr>
        <w:t>Aubriot, O., Prabhakar, P. I.</w:t>
      </w:r>
      <w:r>
        <w:rPr>
          <w:lang w:val="en-GB"/>
        </w:rPr>
        <w:t xml:space="preserve">, </w:t>
      </w:r>
      <w:r w:rsidRPr="00CA343D">
        <w:rPr>
          <w:lang w:val="en-GB"/>
        </w:rPr>
        <w:t>2011. Water Institutions and the</w:t>
      </w:r>
      <w:r w:rsidR="00E7516E">
        <w:rPr>
          <w:lang w:val="en-GB"/>
        </w:rPr>
        <w:t xml:space="preserve"> </w:t>
      </w:r>
      <w:r w:rsidRPr="00CA343D">
        <w:rPr>
          <w:lang w:val="en-GB"/>
        </w:rPr>
        <w:t>'Revival'</w:t>
      </w:r>
      <w:r w:rsidR="00E7516E">
        <w:rPr>
          <w:lang w:val="en-GB"/>
        </w:rPr>
        <w:t xml:space="preserve"> </w:t>
      </w:r>
      <w:r w:rsidRPr="00CA343D">
        <w:rPr>
          <w:lang w:val="en-GB"/>
        </w:rPr>
        <w:t>of Tanks in South India: What Is at Stake Locally?</w:t>
      </w:r>
      <w:r>
        <w:rPr>
          <w:lang w:val="en-GB"/>
        </w:rPr>
        <w:t>,</w:t>
      </w:r>
      <w:r w:rsidRPr="00CA343D">
        <w:rPr>
          <w:lang w:val="en-GB"/>
        </w:rPr>
        <w:t xml:space="preserve"> </w:t>
      </w:r>
      <w:r w:rsidRPr="003C6C19">
        <w:rPr>
          <w:i/>
          <w:iCs/>
          <w:lang w:val="en-GB"/>
        </w:rPr>
        <w:t>Water Alternatives</w:t>
      </w:r>
      <w:r w:rsidRPr="003C6C19">
        <w:rPr>
          <w:lang w:val="en-GB"/>
        </w:rPr>
        <w:t xml:space="preserve">, </w:t>
      </w:r>
      <w:r w:rsidRPr="003C6C19">
        <w:rPr>
          <w:i/>
          <w:iCs/>
          <w:lang w:val="en-GB"/>
        </w:rPr>
        <w:t>4</w:t>
      </w:r>
      <w:r w:rsidRPr="003C6C19">
        <w:rPr>
          <w:lang w:val="en-GB"/>
        </w:rPr>
        <w:t>(3)</w:t>
      </w:r>
    </w:p>
    <w:p w14:paraId="18B25757" w14:textId="77777777" w:rsidR="000F5965" w:rsidRDefault="000F5965" w:rsidP="00E7516E">
      <w:pPr>
        <w:spacing w:after="180"/>
        <w:ind w:left="284" w:hanging="284"/>
        <w:jc w:val="both"/>
      </w:pPr>
      <w:r>
        <w:t>Aymes, M., Gourisse, B., Massicard, E.</w:t>
      </w:r>
      <w:r w:rsidR="004542E5">
        <w:t xml:space="preserve"> (dir.), </w:t>
      </w:r>
      <w:r>
        <w:t xml:space="preserve">2014. </w:t>
      </w:r>
      <w:r w:rsidR="004542E5">
        <w:rPr>
          <w:i/>
          <w:iCs/>
        </w:rPr>
        <w:t>L'art de l'État en Turquie : arrangements de l'action publique de la fin de l'Empire ottoman à nos jours</w:t>
      </w:r>
      <w:r w:rsidR="004542E5">
        <w:t>. Karthala, 428 p.</w:t>
      </w:r>
    </w:p>
    <w:p w14:paraId="0CCD5D08" w14:textId="77777777" w:rsidR="00A93754" w:rsidRPr="00E43C60" w:rsidRDefault="00A93754" w:rsidP="00E7516E">
      <w:pPr>
        <w:spacing w:after="180"/>
        <w:ind w:left="284" w:hanging="284"/>
        <w:jc w:val="both"/>
        <w:rPr>
          <w:lang w:val="en-GB"/>
        </w:rPr>
      </w:pPr>
      <w:r>
        <w:t xml:space="preserve">Caron, P., 2017. </w:t>
      </w:r>
      <w:r w:rsidR="00DB06E1">
        <w:t>« </w:t>
      </w:r>
      <w:r>
        <w:t>Entre promesses et risques, l’usage du mot territoire dans la pensée du développement agricole</w:t>
      </w:r>
      <w:r w:rsidR="00DB06E1">
        <w:t> »</w:t>
      </w:r>
      <w:r>
        <w:t>.</w:t>
      </w:r>
      <w:r w:rsidR="008F257A">
        <w:t xml:space="preserve"> </w:t>
      </w:r>
      <w:r w:rsidR="008F257A" w:rsidRPr="008F257A">
        <w:rPr>
          <w:lang w:val="en-GB"/>
        </w:rPr>
        <w:t>In</w:t>
      </w:r>
      <w:r w:rsidRPr="008F257A">
        <w:rPr>
          <w:lang w:val="en-GB"/>
        </w:rPr>
        <w:t xml:space="preserve"> </w:t>
      </w:r>
      <w:r w:rsidRPr="008F257A">
        <w:rPr>
          <w:iCs/>
          <w:lang w:val="en-GB"/>
        </w:rPr>
        <w:t>Caron P., Valette E., Wassenaar T., Coppens D’Eeckenbrugge G., Papazian V.</w:t>
      </w:r>
      <w:r w:rsidR="008F257A">
        <w:rPr>
          <w:i/>
          <w:iCs/>
          <w:lang w:val="en-GB"/>
        </w:rPr>
        <w:t xml:space="preserve"> </w:t>
      </w:r>
      <w:r w:rsidRPr="008F257A">
        <w:rPr>
          <w:iCs/>
          <w:lang w:val="en-GB"/>
        </w:rPr>
        <w:t>(eds.).</w:t>
      </w:r>
      <w:r w:rsidRPr="008F257A">
        <w:rPr>
          <w:i/>
          <w:iCs/>
          <w:lang w:val="en-GB"/>
        </w:rPr>
        <w:t xml:space="preserve"> </w:t>
      </w:r>
      <w:r w:rsidRPr="00E43C60">
        <w:rPr>
          <w:i/>
          <w:iCs/>
          <w:lang w:val="en-GB"/>
        </w:rPr>
        <w:t>Des territoires vivants pour transformer le monde</w:t>
      </w:r>
      <w:r w:rsidR="008F257A" w:rsidRPr="00E43C60">
        <w:rPr>
          <w:i/>
          <w:iCs/>
          <w:lang w:val="en-GB"/>
        </w:rPr>
        <w:t>,</w:t>
      </w:r>
      <w:r w:rsidRPr="00E43C60">
        <w:rPr>
          <w:i/>
          <w:iCs/>
          <w:lang w:val="en-GB"/>
        </w:rPr>
        <w:t xml:space="preserve"> </w:t>
      </w:r>
      <w:r w:rsidRPr="00E43C60">
        <w:rPr>
          <w:iCs/>
          <w:lang w:val="en-GB"/>
        </w:rPr>
        <w:t>Quae</w:t>
      </w:r>
      <w:r w:rsidRPr="00E43C60">
        <w:rPr>
          <w:lang w:val="en-GB"/>
        </w:rPr>
        <w:t xml:space="preserve">, </w:t>
      </w:r>
      <w:r w:rsidR="008F257A" w:rsidRPr="00E43C60">
        <w:rPr>
          <w:lang w:val="en-GB"/>
        </w:rPr>
        <w:t xml:space="preserve">pp. </w:t>
      </w:r>
      <w:r w:rsidRPr="00E43C60">
        <w:rPr>
          <w:lang w:val="en-GB"/>
        </w:rPr>
        <w:t>15-22</w:t>
      </w:r>
    </w:p>
    <w:p w14:paraId="3D76A6C4" w14:textId="77777777" w:rsidR="00701014" w:rsidRPr="00701014" w:rsidRDefault="00701014" w:rsidP="00E7516E">
      <w:pPr>
        <w:spacing w:after="180"/>
        <w:ind w:left="284" w:hanging="284"/>
        <w:jc w:val="both"/>
        <w:rPr>
          <w:rStyle w:val="Rfrenceintense"/>
        </w:rPr>
      </w:pPr>
      <w:r w:rsidRPr="00701014">
        <w:rPr>
          <w:lang w:val="en-GB"/>
        </w:rPr>
        <w:t>Cleaver, F.</w:t>
      </w:r>
      <w:r>
        <w:rPr>
          <w:lang w:val="en-GB"/>
        </w:rPr>
        <w:t xml:space="preserve">, </w:t>
      </w:r>
      <w:r w:rsidRPr="00701014">
        <w:rPr>
          <w:lang w:val="en-GB"/>
        </w:rPr>
        <w:t>201</w:t>
      </w:r>
      <w:r w:rsidR="00147EC5">
        <w:rPr>
          <w:lang w:val="en-GB"/>
        </w:rPr>
        <w:t>2</w:t>
      </w:r>
      <w:r>
        <w:rPr>
          <w:lang w:val="en-GB"/>
        </w:rPr>
        <w:t>,</w:t>
      </w:r>
      <w:r w:rsidRPr="00701014">
        <w:rPr>
          <w:lang w:val="en-GB"/>
        </w:rPr>
        <w:t xml:space="preserve"> </w:t>
      </w:r>
      <w:r w:rsidRPr="00701014">
        <w:rPr>
          <w:i/>
          <w:iCs/>
          <w:lang w:val="en-GB"/>
        </w:rPr>
        <w:t>Development through bricolage: rethinking institutions for natural resource management</w:t>
      </w:r>
      <w:r w:rsidRPr="00701014">
        <w:rPr>
          <w:lang w:val="en-GB"/>
        </w:rPr>
        <w:t>. Routledge</w:t>
      </w:r>
      <w:r w:rsidR="00147EC5">
        <w:rPr>
          <w:lang w:val="en-GB"/>
        </w:rPr>
        <w:t>, 240 p</w:t>
      </w:r>
      <w:r w:rsidRPr="00701014">
        <w:rPr>
          <w:lang w:val="en-GB"/>
        </w:rPr>
        <w:t>.</w:t>
      </w:r>
    </w:p>
    <w:p w14:paraId="0BE88326" w14:textId="77777777" w:rsidR="00626D19" w:rsidRDefault="00626D19" w:rsidP="00E7516E">
      <w:pPr>
        <w:spacing w:after="180"/>
        <w:ind w:left="284" w:hanging="284"/>
        <w:jc w:val="both"/>
      </w:pPr>
      <w:r w:rsidRPr="00E43C60">
        <w:rPr>
          <w:lang w:val="en-GB"/>
        </w:rPr>
        <w:t xml:space="preserve">Eren, A., 2017. </w:t>
      </w:r>
      <w:r w:rsidRPr="00626D19">
        <w:rPr>
          <w:lang w:val="en-GB"/>
        </w:rPr>
        <w:t xml:space="preserve">The political ecology of uncertainty: the production of truth by juridical practices in hydropower development. </w:t>
      </w:r>
      <w:r>
        <w:rPr>
          <w:i/>
          <w:iCs/>
        </w:rPr>
        <w:t>Journal of Political Ecology</w:t>
      </w:r>
      <w:r>
        <w:t xml:space="preserve">, </w:t>
      </w:r>
      <w:r>
        <w:rPr>
          <w:i/>
          <w:iCs/>
        </w:rPr>
        <w:t>24</w:t>
      </w:r>
      <w:r>
        <w:t>(1),</w:t>
      </w:r>
      <w:r w:rsidR="00C21F88">
        <w:t xml:space="preserve"> pp.</w:t>
      </w:r>
      <w:r>
        <w:t xml:space="preserve"> 386-405</w:t>
      </w:r>
    </w:p>
    <w:p w14:paraId="71FC0964" w14:textId="77777777" w:rsidR="009634E2" w:rsidRDefault="009634E2" w:rsidP="00E7516E">
      <w:pPr>
        <w:spacing w:after="180"/>
        <w:ind w:left="284" w:hanging="284"/>
        <w:jc w:val="both"/>
      </w:pPr>
      <w:r>
        <w:t xml:space="preserve">Ghiotti, S., 2006. Les Territoires de l’eau et la décentralisation. La gouvernance de bassin versant ou les limites d’une évidence. </w:t>
      </w:r>
      <w:r>
        <w:rPr>
          <w:i/>
          <w:iCs/>
        </w:rPr>
        <w:t>Développement durable et territoires. Économie, géographie, politique, droit, sociologie</w:t>
      </w:r>
      <w:r>
        <w:t>, (Dossier 6).</w:t>
      </w:r>
    </w:p>
    <w:p w14:paraId="6D013132" w14:textId="77777777" w:rsidR="00035F71" w:rsidRDefault="00035F71" w:rsidP="00E7516E">
      <w:pPr>
        <w:spacing w:after="180"/>
        <w:ind w:left="284" w:hanging="284"/>
        <w:jc w:val="both"/>
        <w:rPr>
          <w:lang w:val="en-GB"/>
        </w:rPr>
      </w:pPr>
      <w:r w:rsidRPr="00E62352">
        <w:rPr>
          <w:rStyle w:val="Rfrenceintense"/>
        </w:rPr>
        <w:t xml:space="preserve">Harris, L., 2012. </w:t>
      </w:r>
      <w:r w:rsidRPr="00035F71">
        <w:rPr>
          <w:lang w:val="en-GB"/>
        </w:rPr>
        <w:t>State as socionatural effect: Variable and emergent geographies of the state in southeastern Turkey</w:t>
      </w:r>
      <w:r w:rsidR="00E62352">
        <w:rPr>
          <w:lang w:val="en-GB"/>
        </w:rPr>
        <w:t>,</w:t>
      </w:r>
      <w:r w:rsidRPr="00035F71">
        <w:rPr>
          <w:lang w:val="en-GB"/>
        </w:rPr>
        <w:t xml:space="preserve"> </w:t>
      </w:r>
      <w:r w:rsidRPr="00035F71">
        <w:rPr>
          <w:i/>
          <w:iCs/>
          <w:lang w:val="en-GB"/>
        </w:rPr>
        <w:t>Comparative Studies of South Asia, Africa and the Middle East</w:t>
      </w:r>
      <w:r w:rsidRPr="00035F71">
        <w:rPr>
          <w:lang w:val="en-GB"/>
        </w:rPr>
        <w:t xml:space="preserve">, </w:t>
      </w:r>
      <w:r w:rsidRPr="00035F71">
        <w:rPr>
          <w:i/>
          <w:iCs/>
          <w:lang w:val="en-GB"/>
        </w:rPr>
        <w:t>32</w:t>
      </w:r>
      <w:r w:rsidRPr="00035F71">
        <w:rPr>
          <w:lang w:val="en-GB"/>
        </w:rPr>
        <w:t>(1),</w:t>
      </w:r>
      <w:r w:rsidR="00E62352">
        <w:rPr>
          <w:lang w:val="en-GB"/>
        </w:rPr>
        <w:t xml:space="preserve"> pp.</w:t>
      </w:r>
      <w:r w:rsidRPr="00035F71">
        <w:rPr>
          <w:lang w:val="en-GB"/>
        </w:rPr>
        <w:t xml:space="preserve"> 25-39</w:t>
      </w:r>
    </w:p>
    <w:p w14:paraId="61C92C58" w14:textId="77777777" w:rsidR="0065523A" w:rsidRDefault="0065523A" w:rsidP="00E7516E">
      <w:pPr>
        <w:spacing w:after="180"/>
        <w:ind w:left="284" w:hanging="284"/>
        <w:jc w:val="both"/>
        <w:rPr>
          <w:lang w:val="en-GB"/>
        </w:rPr>
      </w:pPr>
      <w:r w:rsidRPr="0065523A">
        <w:rPr>
          <w:lang w:val="en-GB"/>
        </w:rPr>
        <w:t>Harris, L.</w:t>
      </w:r>
      <w:r>
        <w:rPr>
          <w:lang w:val="en-GB"/>
        </w:rPr>
        <w:t xml:space="preserve">, </w:t>
      </w:r>
      <w:r w:rsidRPr="0065523A">
        <w:rPr>
          <w:lang w:val="en-GB"/>
        </w:rPr>
        <w:t xml:space="preserve">2017. Political ecologies of the state: Recent interventions and questions going forward. </w:t>
      </w:r>
      <w:r w:rsidRPr="00E43C60">
        <w:rPr>
          <w:i/>
          <w:iCs/>
          <w:lang w:val="en-GB"/>
        </w:rPr>
        <w:t>Political Geography</w:t>
      </w:r>
      <w:r w:rsidRPr="00E43C60">
        <w:rPr>
          <w:lang w:val="en-GB"/>
        </w:rPr>
        <w:t xml:space="preserve">, </w:t>
      </w:r>
      <w:r w:rsidRPr="00E43C60">
        <w:rPr>
          <w:i/>
          <w:iCs/>
          <w:lang w:val="en-GB"/>
        </w:rPr>
        <w:t>58</w:t>
      </w:r>
      <w:r w:rsidRPr="00E43C60">
        <w:rPr>
          <w:lang w:val="en-GB"/>
        </w:rPr>
        <w:t>(1), pp. 90-2</w:t>
      </w:r>
    </w:p>
    <w:p w14:paraId="7DB71C6F" w14:textId="77777777" w:rsidR="00E62352" w:rsidRDefault="00E62352" w:rsidP="00E7516E">
      <w:pPr>
        <w:spacing w:after="180"/>
        <w:ind w:left="284" w:hanging="284"/>
        <w:jc w:val="both"/>
      </w:pPr>
      <w:r w:rsidRPr="00E43C60">
        <w:rPr>
          <w:lang w:val="en-GB"/>
        </w:rPr>
        <w:t>Hommes, L., Boelens, R., Maat, H.</w:t>
      </w:r>
      <w:r w:rsidR="00626D19" w:rsidRPr="00E43C60">
        <w:rPr>
          <w:lang w:val="en-GB"/>
        </w:rPr>
        <w:t xml:space="preserve">, </w:t>
      </w:r>
      <w:r w:rsidRPr="00E43C60">
        <w:rPr>
          <w:lang w:val="en-GB"/>
        </w:rPr>
        <w:t xml:space="preserve">2016. </w:t>
      </w:r>
      <w:r w:rsidRPr="00E62352">
        <w:rPr>
          <w:lang w:val="en-GB"/>
        </w:rPr>
        <w:t xml:space="preserve">Contested hydrosocial territories and disputed water governance: Struggles and competing claims over the Ilisu Dam development in southeastern Turkey. </w:t>
      </w:r>
      <w:r>
        <w:rPr>
          <w:i/>
          <w:iCs/>
        </w:rPr>
        <w:t>Geoforum</w:t>
      </w:r>
      <w:r>
        <w:t xml:space="preserve">, </w:t>
      </w:r>
      <w:r>
        <w:rPr>
          <w:i/>
          <w:iCs/>
        </w:rPr>
        <w:t>71</w:t>
      </w:r>
      <w:r>
        <w:t xml:space="preserve">, </w:t>
      </w:r>
      <w:r w:rsidR="00626D19">
        <w:t xml:space="preserve">pp. </w:t>
      </w:r>
      <w:r>
        <w:t>9-20</w:t>
      </w:r>
    </w:p>
    <w:p w14:paraId="74CAC0D0" w14:textId="77777777" w:rsidR="003443C4" w:rsidRDefault="003443C4" w:rsidP="00E7516E">
      <w:pPr>
        <w:spacing w:after="180"/>
        <w:ind w:left="284" w:hanging="284"/>
        <w:jc w:val="both"/>
        <w:rPr>
          <w:lang w:val="en-GB"/>
        </w:rPr>
      </w:pPr>
      <w:r w:rsidRPr="003443C4">
        <w:rPr>
          <w:lang w:val="en-GB"/>
        </w:rPr>
        <w:t>Loftus, A.</w:t>
      </w:r>
      <w:r>
        <w:rPr>
          <w:lang w:val="en-GB"/>
        </w:rPr>
        <w:t xml:space="preserve">, </w:t>
      </w:r>
      <w:r w:rsidRPr="003443C4">
        <w:rPr>
          <w:lang w:val="en-GB"/>
        </w:rPr>
        <w:t>2018</w:t>
      </w:r>
      <w:r>
        <w:rPr>
          <w:lang w:val="en-GB"/>
        </w:rPr>
        <w:t>.</w:t>
      </w:r>
      <w:r w:rsidRPr="003443C4">
        <w:rPr>
          <w:lang w:val="en-GB"/>
        </w:rPr>
        <w:t xml:space="preserve"> Political ecology II: Whither the state?. </w:t>
      </w:r>
      <w:r w:rsidRPr="003443C4">
        <w:rPr>
          <w:i/>
          <w:iCs/>
          <w:lang w:val="en-GB"/>
        </w:rPr>
        <w:t>Progress in Human Geography</w:t>
      </w:r>
      <w:r w:rsidRPr="003443C4">
        <w:rPr>
          <w:lang w:val="en-GB"/>
        </w:rPr>
        <w:t>,</w:t>
      </w:r>
      <w:r>
        <w:rPr>
          <w:lang w:val="en-GB"/>
        </w:rPr>
        <w:t xml:space="preserve"> pp. 1-11</w:t>
      </w:r>
    </w:p>
    <w:p w14:paraId="2153DA62" w14:textId="77777777" w:rsidR="00147EC5" w:rsidRPr="00E43C60" w:rsidRDefault="00147EC5" w:rsidP="00E7516E">
      <w:pPr>
        <w:spacing w:after="180"/>
        <w:ind w:left="284" w:hanging="284"/>
        <w:jc w:val="both"/>
        <w:rPr>
          <w:lang w:val="en-GB"/>
        </w:rPr>
      </w:pPr>
      <w:r w:rsidRPr="00147EC5">
        <w:rPr>
          <w:lang w:val="en-GB"/>
        </w:rPr>
        <w:t>Mosse, D.</w:t>
      </w:r>
      <w:r>
        <w:rPr>
          <w:lang w:val="en-GB"/>
        </w:rPr>
        <w:t xml:space="preserve">, </w:t>
      </w:r>
      <w:r w:rsidRPr="00147EC5">
        <w:rPr>
          <w:lang w:val="en-GB"/>
        </w:rPr>
        <w:t xml:space="preserve">1999. Colonial and contemporary ideologies of ‘community management’: the case of tank irrigation development in South India. </w:t>
      </w:r>
      <w:r w:rsidRPr="00E43C60">
        <w:rPr>
          <w:i/>
          <w:iCs/>
          <w:lang w:val="en-GB"/>
        </w:rPr>
        <w:t>Modern Asian Studies</w:t>
      </w:r>
      <w:r w:rsidRPr="00E43C60">
        <w:rPr>
          <w:lang w:val="en-GB"/>
        </w:rPr>
        <w:t xml:space="preserve">, </w:t>
      </w:r>
      <w:r w:rsidRPr="00E43C60">
        <w:rPr>
          <w:i/>
          <w:iCs/>
          <w:lang w:val="en-GB"/>
        </w:rPr>
        <w:t>33</w:t>
      </w:r>
      <w:r w:rsidRPr="00E43C60">
        <w:rPr>
          <w:lang w:val="en-GB"/>
        </w:rPr>
        <w:t xml:space="preserve">(2), </w:t>
      </w:r>
      <w:r w:rsidR="00A93754" w:rsidRPr="00E43C60">
        <w:rPr>
          <w:lang w:val="en-GB"/>
        </w:rPr>
        <w:t xml:space="preserve">pp. </w:t>
      </w:r>
      <w:r w:rsidRPr="00E43C60">
        <w:rPr>
          <w:lang w:val="en-GB"/>
        </w:rPr>
        <w:t>303-338</w:t>
      </w:r>
    </w:p>
    <w:p w14:paraId="28EDADF5" w14:textId="77777777" w:rsidR="006A3346" w:rsidRPr="006A3346" w:rsidRDefault="006A3346" w:rsidP="00E7516E">
      <w:pPr>
        <w:spacing w:after="180"/>
        <w:ind w:left="284" w:hanging="284"/>
        <w:jc w:val="both"/>
        <w:rPr>
          <w:lang w:val="en-GB"/>
        </w:rPr>
      </w:pPr>
      <w:r w:rsidRPr="006A3346">
        <w:rPr>
          <w:lang w:val="en-GB"/>
        </w:rPr>
        <w:lastRenderedPageBreak/>
        <w:t>Robbins</w:t>
      </w:r>
      <w:r>
        <w:rPr>
          <w:lang w:val="en-GB"/>
        </w:rPr>
        <w:t>,</w:t>
      </w:r>
      <w:r w:rsidRPr="006A3346">
        <w:rPr>
          <w:lang w:val="en-GB"/>
        </w:rPr>
        <w:t xml:space="preserve"> P</w:t>
      </w:r>
      <w:r>
        <w:rPr>
          <w:lang w:val="en-GB"/>
        </w:rPr>
        <w:t xml:space="preserve">., </w:t>
      </w:r>
      <w:r w:rsidRPr="006A3346">
        <w:rPr>
          <w:lang w:val="en-GB"/>
        </w:rPr>
        <w:t>2003</w:t>
      </w:r>
      <w:r>
        <w:rPr>
          <w:lang w:val="en-GB"/>
        </w:rPr>
        <w:t xml:space="preserve">. </w:t>
      </w:r>
      <w:r w:rsidRPr="006A3346">
        <w:rPr>
          <w:lang w:val="en-GB"/>
        </w:rPr>
        <w:t>Political ecology in political geography.</w:t>
      </w:r>
      <w:r>
        <w:rPr>
          <w:lang w:val="en-GB"/>
        </w:rPr>
        <w:t xml:space="preserve"> </w:t>
      </w:r>
      <w:r w:rsidRPr="006A3346">
        <w:rPr>
          <w:i/>
          <w:lang w:val="en-GB"/>
        </w:rPr>
        <w:t>Political Geography</w:t>
      </w:r>
      <w:r>
        <w:rPr>
          <w:i/>
          <w:lang w:val="en-GB"/>
        </w:rPr>
        <w:t>,</w:t>
      </w:r>
      <w:r w:rsidRPr="006A3346">
        <w:rPr>
          <w:lang w:val="en-GB"/>
        </w:rPr>
        <w:t xml:space="preserve"> 6(22)</w:t>
      </w:r>
      <w:r>
        <w:rPr>
          <w:lang w:val="en-GB"/>
        </w:rPr>
        <w:t xml:space="preserve">, pp. </w:t>
      </w:r>
      <w:r w:rsidRPr="006A3346">
        <w:rPr>
          <w:lang w:val="en-GB"/>
        </w:rPr>
        <w:t>641–645</w:t>
      </w:r>
    </w:p>
    <w:p w14:paraId="41374700" w14:textId="77777777" w:rsidR="001E66D7" w:rsidRPr="003443C4" w:rsidRDefault="003C6C19" w:rsidP="00E7516E">
      <w:pPr>
        <w:spacing w:after="180"/>
        <w:ind w:left="284" w:hanging="284"/>
        <w:jc w:val="both"/>
        <w:rPr>
          <w:lang w:val="en-GB"/>
        </w:rPr>
      </w:pPr>
      <w:r w:rsidRPr="003C6C19">
        <w:rPr>
          <w:lang w:val="en-GB"/>
        </w:rPr>
        <w:t>Secor, A. J.</w:t>
      </w:r>
      <w:r>
        <w:rPr>
          <w:lang w:val="en-GB"/>
        </w:rPr>
        <w:t xml:space="preserve">, </w:t>
      </w:r>
      <w:r w:rsidRPr="003C6C19">
        <w:rPr>
          <w:lang w:val="en-GB"/>
        </w:rPr>
        <w:t xml:space="preserve">2007. Between longing and despair: State, space, and subjectivity in Turkey. </w:t>
      </w:r>
      <w:r w:rsidRPr="00F82ADB">
        <w:rPr>
          <w:i/>
          <w:iCs/>
          <w:lang w:val="en-GB"/>
        </w:rPr>
        <w:t>Environment and Planning D: Society and Space</w:t>
      </w:r>
      <w:r w:rsidRPr="00F82ADB">
        <w:rPr>
          <w:lang w:val="en-GB"/>
        </w:rPr>
        <w:t xml:space="preserve">, </w:t>
      </w:r>
      <w:r w:rsidRPr="00F82ADB">
        <w:rPr>
          <w:i/>
          <w:iCs/>
          <w:lang w:val="en-GB"/>
        </w:rPr>
        <w:t>25</w:t>
      </w:r>
      <w:r w:rsidRPr="00F82ADB">
        <w:rPr>
          <w:lang w:val="en-GB"/>
        </w:rPr>
        <w:t xml:space="preserve">(1), </w:t>
      </w:r>
      <w:r w:rsidR="00F82ADB" w:rsidRPr="00F82ADB">
        <w:rPr>
          <w:lang w:val="en-GB"/>
        </w:rPr>
        <w:t xml:space="preserve">pp. </w:t>
      </w:r>
      <w:r w:rsidRPr="00F82ADB">
        <w:rPr>
          <w:lang w:val="en-GB"/>
        </w:rPr>
        <w:t>33-52.</w:t>
      </w:r>
    </w:p>
    <w:sectPr w:rsidR="001E66D7" w:rsidRPr="003443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2F7C7" w14:textId="77777777" w:rsidR="002E160C" w:rsidRDefault="002E160C" w:rsidP="00312E4C">
      <w:pPr>
        <w:spacing w:after="0" w:line="240" w:lineRule="auto"/>
      </w:pPr>
      <w:r>
        <w:separator/>
      </w:r>
    </w:p>
  </w:endnote>
  <w:endnote w:type="continuationSeparator" w:id="0">
    <w:p w14:paraId="50A7591B" w14:textId="77777777" w:rsidR="002E160C" w:rsidRDefault="002E160C" w:rsidP="0031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9985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0EBEDE" w14:textId="77777777" w:rsidR="003408FE" w:rsidRDefault="003408FE" w:rsidP="00911CDB">
            <w:pPr>
              <w:pStyle w:val="Pieddepage"/>
              <w:jc w:val="center"/>
            </w:pPr>
            <w:r>
              <w:rPr>
                <w:i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BECEE" wp14:editId="73FD556D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5715</wp:posOffset>
                      </wp:positionV>
                      <wp:extent cx="5257800" cy="0"/>
                      <wp:effectExtent l="0" t="19050" r="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2D58DC" id="Connecteur droit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.45pt" to="524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" strokecolor="#243f60 [1604]" strokeweight="3pt"/>
                  </w:pict>
                </mc:Fallback>
              </mc:AlternateContent>
            </w:r>
          </w:p>
          <w:p w14:paraId="48BD26A9" w14:textId="3FCA1D07" w:rsidR="003408FE" w:rsidRDefault="003408FE" w:rsidP="00911CDB">
            <w:pPr>
              <w:pStyle w:val="Pieddepage"/>
              <w:tabs>
                <w:tab w:val="left" w:pos="5670"/>
              </w:tabs>
            </w:pPr>
            <w:r>
              <w:rPr>
                <w:bCs/>
                <w:szCs w:val="24"/>
              </w:rPr>
              <w:tab/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begin"/>
            </w:r>
            <w:r w:rsidRPr="00911CDB">
              <w:rPr>
                <w:bCs/>
                <w:color w:val="244061" w:themeColor="accent1" w:themeShade="80"/>
              </w:rPr>
              <w:instrText>PAGE</w:instrTex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separate"/>
            </w:r>
            <w:r w:rsidR="00ED4F93">
              <w:rPr>
                <w:bCs/>
                <w:noProof/>
                <w:color w:val="244061" w:themeColor="accent1" w:themeShade="80"/>
              </w:rPr>
              <w:t>6</w: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end"/>
            </w:r>
            <w:r w:rsidRPr="00911CDB">
              <w:rPr>
                <w:color w:val="244061" w:themeColor="accent1" w:themeShade="80"/>
              </w:rPr>
              <w:t xml:space="preserve"> / </w: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begin"/>
            </w:r>
            <w:r w:rsidRPr="00911CDB">
              <w:rPr>
                <w:bCs/>
                <w:color w:val="244061" w:themeColor="accent1" w:themeShade="80"/>
              </w:rPr>
              <w:instrText>NUMPAGES</w:instrTex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separate"/>
            </w:r>
            <w:r w:rsidR="00ED4F93">
              <w:rPr>
                <w:bCs/>
                <w:noProof/>
                <w:color w:val="244061" w:themeColor="accent1" w:themeShade="80"/>
              </w:rPr>
              <w:t>7</w:t>
            </w:r>
            <w:r w:rsidRPr="00911CDB">
              <w:rPr>
                <w:bCs/>
                <w:color w:val="244061" w:themeColor="accent1" w:themeShade="80"/>
                <w:szCs w:val="24"/>
              </w:rPr>
              <w:fldChar w:fldCharType="end"/>
            </w:r>
            <w:r>
              <w:rPr>
                <w:bCs/>
                <w:szCs w:val="24"/>
              </w:rPr>
              <w:tab/>
            </w:r>
          </w:p>
        </w:sdtContent>
      </w:sdt>
    </w:sdtContent>
  </w:sdt>
  <w:p w14:paraId="1B80FD56" w14:textId="77777777" w:rsidR="003408FE" w:rsidRDefault="003408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330D" w14:textId="77777777" w:rsidR="002E160C" w:rsidRDefault="002E160C" w:rsidP="00312E4C">
      <w:pPr>
        <w:spacing w:after="0" w:line="240" w:lineRule="auto"/>
      </w:pPr>
      <w:r>
        <w:separator/>
      </w:r>
    </w:p>
  </w:footnote>
  <w:footnote w:type="continuationSeparator" w:id="0">
    <w:p w14:paraId="0FBAF5EA" w14:textId="77777777" w:rsidR="002E160C" w:rsidRDefault="002E160C" w:rsidP="0031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A762A" w14:textId="77777777" w:rsidR="003408FE" w:rsidRPr="00911CDB" w:rsidRDefault="003408FE" w:rsidP="00911CDB">
    <w:pPr>
      <w:pStyle w:val="En-tte"/>
      <w:spacing w:line="300" w:lineRule="auto"/>
      <w:jc w:val="right"/>
      <w:rPr>
        <w:b/>
        <w:color w:val="244061" w:themeColor="accent1" w:themeShade="80"/>
        <w:szCs w:val="24"/>
      </w:rPr>
    </w:pPr>
    <w:r w:rsidRPr="00911CDB">
      <w:rPr>
        <w:b/>
        <w:color w:val="244061" w:themeColor="accent1" w:themeShade="80"/>
        <w:szCs w:val="24"/>
      </w:rPr>
      <w:t>Doctoriales en Sciences Sociales de l’eau</w:t>
    </w:r>
  </w:p>
  <w:p w14:paraId="2D340D5D" w14:textId="77777777" w:rsidR="003408FE" w:rsidRPr="00911CDB" w:rsidRDefault="003408FE" w:rsidP="00911CDB">
    <w:pPr>
      <w:pStyle w:val="En-tte"/>
      <w:tabs>
        <w:tab w:val="left" w:pos="1935"/>
      </w:tabs>
      <w:spacing w:line="300" w:lineRule="auto"/>
      <w:rPr>
        <w:color w:val="244061" w:themeColor="accent1" w:themeShade="80"/>
        <w:szCs w:val="24"/>
      </w:rPr>
    </w:pPr>
    <w:r>
      <w:rPr>
        <w:color w:val="244061" w:themeColor="accent1" w:themeShade="80"/>
        <w:szCs w:val="24"/>
      </w:rPr>
      <w:tab/>
    </w:r>
    <w:r>
      <w:rPr>
        <w:color w:val="244061" w:themeColor="accent1" w:themeShade="80"/>
        <w:szCs w:val="24"/>
      </w:rPr>
      <w:tab/>
    </w:r>
    <w:r>
      <w:rPr>
        <w:color w:val="244061" w:themeColor="accent1" w:themeShade="80"/>
        <w:szCs w:val="24"/>
      </w:rPr>
      <w:tab/>
    </w:r>
    <w:r w:rsidRPr="00911CDB">
      <w:rPr>
        <w:color w:val="244061" w:themeColor="accent1" w:themeShade="80"/>
        <w:szCs w:val="24"/>
      </w:rPr>
      <w:t>ENS de Lyon – 5-6 septembre 2019</w:t>
    </w:r>
  </w:p>
  <w:p w14:paraId="40F17609" w14:textId="77777777" w:rsidR="003408FE" w:rsidRPr="001E66D7" w:rsidRDefault="003408FE" w:rsidP="00911CDB">
    <w:pPr>
      <w:pStyle w:val="En-tte"/>
      <w:jc w:val="center"/>
      <w:rPr>
        <w:i/>
        <w:szCs w:val="24"/>
      </w:rPr>
    </w:pPr>
    <w:r>
      <w:rPr>
        <w:i/>
        <w:noProof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5C973" wp14:editId="58CE1D03">
              <wp:simplePos x="0" y="0"/>
              <wp:positionH relativeFrom="column">
                <wp:posOffset>-909320</wp:posOffset>
              </wp:positionH>
              <wp:positionV relativeFrom="paragraph">
                <wp:posOffset>141605</wp:posOffset>
              </wp:positionV>
              <wp:extent cx="5257800" cy="0"/>
              <wp:effectExtent l="0" t="19050" r="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39EE98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6pt,11.15pt" to="34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" strokecolor="#243f60 [1604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5E79"/>
    <w:multiLevelType w:val="hybridMultilevel"/>
    <w:tmpl w:val="E4264348"/>
    <w:lvl w:ilvl="0" w:tplc="E20A32E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56730"/>
    <w:multiLevelType w:val="multilevel"/>
    <w:tmpl w:val="5A5E4F9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C74BC1"/>
    <w:multiLevelType w:val="hybridMultilevel"/>
    <w:tmpl w:val="DCF087A4"/>
    <w:lvl w:ilvl="0" w:tplc="260E4182">
      <w:start w:val="1"/>
      <w:numFmt w:val="bullet"/>
      <w:pStyle w:val="Normal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87B0491"/>
    <w:multiLevelType w:val="multilevel"/>
    <w:tmpl w:val="AA2E27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77348FA"/>
    <w:multiLevelType w:val="hybridMultilevel"/>
    <w:tmpl w:val="6FE64E14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4C"/>
    <w:rsid w:val="00010F5A"/>
    <w:rsid w:val="0001644B"/>
    <w:rsid w:val="00026C26"/>
    <w:rsid w:val="00035F71"/>
    <w:rsid w:val="00047DC3"/>
    <w:rsid w:val="000629CB"/>
    <w:rsid w:val="0006327E"/>
    <w:rsid w:val="000763DA"/>
    <w:rsid w:val="000818B7"/>
    <w:rsid w:val="0008369B"/>
    <w:rsid w:val="000A0376"/>
    <w:rsid w:val="000A2E18"/>
    <w:rsid w:val="000E414A"/>
    <w:rsid w:val="000E4985"/>
    <w:rsid w:val="000E509B"/>
    <w:rsid w:val="000F4A19"/>
    <w:rsid w:val="000F5965"/>
    <w:rsid w:val="000F6BBB"/>
    <w:rsid w:val="001130C7"/>
    <w:rsid w:val="00147EC5"/>
    <w:rsid w:val="00187D38"/>
    <w:rsid w:val="00191A20"/>
    <w:rsid w:val="001928BD"/>
    <w:rsid w:val="001A5A64"/>
    <w:rsid w:val="001B21EE"/>
    <w:rsid w:val="001B2352"/>
    <w:rsid w:val="001D48C6"/>
    <w:rsid w:val="001D4BBD"/>
    <w:rsid w:val="001D5439"/>
    <w:rsid w:val="001E5824"/>
    <w:rsid w:val="001E66D7"/>
    <w:rsid w:val="002248B4"/>
    <w:rsid w:val="00234324"/>
    <w:rsid w:val="00243784"/>
    <w:rsid w:val="002450A0"/>
    <w:rsid w:val="00245EE1"/>
    <w:rsid w:val="002542BD"/>
    <w:rsid w:val="00262362"/>
    <w:rsid w:val="00262901"/>
    <w:rsid w:val="002712F7"/>
    <w:rsid w:val="00281469"/>
    <w:rsid w:val="0028781C"/>
    <w:rsid w:val="00291FC6"/>
    <w:rsid w:val="002975E5"/>
    <w:rsid w:val="002B3E82"/>
    <w:rsid w:val="002B4378"/>
    <w:rsid w:val="002B52B1"/>
    <w:rsid w:val="002C6217"/>
    <w:rsid w:val="002C6E77"/>
    <w:rsid w:val="002E160C"/>
    <w:rsid w:val="002E3637"/>
    <w:rsid w:val="00303AED"/>
    <w:rsid w:val="00305437"/>
    <w:rsid w:val="00305983"/>
    <w:rsid w:val="00312E4C"/>
    <w:rsid w:val="00314440"/>
    <w:rsid w:val="00317560"/>
    <w:rsid w:val="003248C8"/>
    <w:rsid w:val="00330BBB"/>
    <w:rsid w:val="003328A0"/>
    <w:rsid w:val="003408FE"/>
    <w:rsid w:val="0034411E"/>
    <w:rsid w:val="003443C4"/>
    <w:rsid w:val="00350DF9"/>
    <w:rsid w:val="00354F27"/>
    <w:rsid w:val="003557AF"/>
    <w:rsid w:val="003673D1"/>
    <w:rsid w:val="0037293B"/>
    <w:rsid w:val="003755BD"/>
    <w:rsid w:val="00376BB1"/>
    <w:rsid w:val="00382892"/>
    <w:rsid w:val="0038313F"/>
    <w:rsid w:val="003A2296"/>
    <w:rsid w:val="003B4C0C"/>
    <w:rsid w:val="003C077C"/>
    <w:rsid w:val="003C6C19"/>
    <w:rsid w:val="003C7023"/>
    <w:rsid w:val="003D38EA"/>
    <w:rsid w:val="003D4460"/>
    <w:rsid w:val="003E2D5B"/>
    <w:rsid w:val="003E4405"/>
    <w:rsid w:val="003F1CB5"/>
    <w:rsid w:val="004039BE"/>
    <w:rsid w:val="00405734"/>
    <w:rsid w:val="0040594D"/>
    <w:rsid w:val="00406405"/>
    <w:rsid w:val="00415509"/>
    <w:rsid w:val="00417C7A"/>
    <w:rsid w:val="00417EA6"/>
    <w:rsid w:val="00423987"/>
    <w:rsid w:val="00425501"/>
    <w:rsid w:val="00425734"/>
    <w:rsid w:val="00435059"/>
    <w:rsid w:val="00435CE3"/>
    <w:rsid w:val="0044492C"/>
    <w:rsid w:val="004542E5"/>
    <w:rsid w:val="00464D3F"/>
    <w:rsid w:val="00487FCA"/>
    <w:rsid w:val="00497D6C"/>
    <w:rsid w:val="004A08F9"/>
    <w:rsid w:val="004A1D53"/>
    <w:rsid w:val="004E33CC"/>
    <w:rsid w:val="004E3DB8"/>
    <w:rsid w:val="00501933"/>
    <w:rsid w:val="00511E19"/>
    <w:rsid w:val="00514216"/>
    <w:rsid w:val="00522C7B"/>
    <w:rsid w:val="005415FB"/>
    <w:rsid w:val="00560298"/>
    <w:rsid w:val="00565600"/>
    <w:rsid w:val="00593AD7"/>
    <w:rsid w:val="005A6820"/>
    <w:rsid w:val="005B2FE3"/>
    <w:rsid w:val="005B721A"/>
    <w:rsid w:val="005C3156"/>
    <w:rsid w:val="005D28B7"/>
    <w:rsid w:val="005D69B1"/>
    <w:rsid w:val="005E1FAC"/>
    <w:rsid w:val="005E6C72"/>
    <w:rsid w:val="005E7753"/>
    <w:rsid w:val="005F0B3C"/>
    <w:rsid w:val="006058B2"/>
    <w:rsid w:val="006103E1"/>
    <w:rsid w:val="00610B91"/>
    <w:rsid w:val="00622830"/>
    <w:rsid w:val="00623AA3"/>
    <w:rsid w:val="00625985"/>
    <w:rsid w:val="00626D19"/>
    <w:rsid w:val="00633B35"/>
    <w:rsid w:val="00652763"/>
    <w:rsid w:val="0065523A"/>
    <w:rsid w:val="00656378"/>
    <w:rsid w:val="00666F74"/>
    <w:rsid w:val="00684FD1"/>
    <w:rsid w:val="00686CA2"/>
    <w:rsid w:val="006A3346"/>
    <w:rsid w:val="006B17C0"/>
    <w:rsid w:val="006B5A91"/>
    <w:rsid w:val="006C005E"/>
    <w:rsid w:val="006D38E5"/>
    <w:rsid w:val="006D5965"/>
    <w:rsid w:val="006E1473"/>
    <w:rsid w:val="006E3487"/>
    <w:rsid w:val="006E7189"/>
    <w:rsid w:val="00701014"/>
    <w:rsid w:val="00714E98"/>
    <w:rsid w:val="00720CC6"/>
    <w:rsid w:val="007234E8"/>
    <w:rsid w:val="00726BF8"/>
    <w:rsid w:val="0073458C"/>
    <w:rsid w:val="00755CFF"/>
    <w:rsid w:val="00780C6A"/>
    <w:rsid w:val="00792C68"/>
    <w:rsid w:val="0079311B"/>
    <w:rsid w:val="007A1A30"/>
    <w:rsid w:val="007A76FD"/>
    <w:rsid w:val="007B1ABC"/>
    <w:rsid w:val="007C7137"/>
    <w:rsid w:val="007D77FE"/>
    <w:rsid w:val="007F1EAE"/>
    <w:rsid w:val="007F25C3"/>
    <w:rsid w:val="007F5360"/>
    <w:rsid w:val="007F7A9F"/>
    <w:rsid w:val="00837739"/>
    <w:rsid w:val="008401E8"/>
    <w:rsid w:val="00862585"/>
    <w:rsid w:val="00872D90"/>
    <w:rsid w:val="00896275"/>
    <w:rsid w:val="008A33DA"/>
    <w:rsid w:val="008A7FC8"/>
    <w:rsid w:val="008C0E3B"/>
    <w:rsid w:val="008C73BC"/>
    <w:rsid w:val="008C777F"/>
    <w:rsid w:val="008D01E7"/>
    <w:rsid w:val="008D45E6"/>
    <w:rsid w:val="008D6262"/>
    <w:rsid w:val="008E4B8C"/>
    <w:rsid w:val="008E7E77"/>
    <w:rsid w:val="008F257A"/>
    <w:rsid w:val="0090504D"/>
    <w:rsid w:val="009058E8"/>
    <w:rsid w:val="00911CDB"/>
    <w:rsid w:val="00915C4A"/>
    <w:rsid w:val="0092546F"/>
    <w:rsid w:val="0093345E"/>
    <w:rsid w:val="00953844"/>
    <w:rsid w:val="0095625A"/>
    <w:rsid w:val="00961AD4"/>
    <w:rsid w:val="009634E2"/>
    <w:rsid w:val="009710C7"/>
    <w:rsid w:val="00971D06"/>
    <w:rsid w:val="009943B6"/>
    <w:rsid w:val="009A7C61"/>
    <w:rsid w:val="009B305C"/>
    <w:rsid w:val="009B523F"/>
    <w:rsid w:val="009C1DAC"/>
    <w:rsid w:val="009E0B48"/>
    <w:rsid w:val="009F674A"/>
    <w:rsid w:val="00A00AC1"/>
    <w:rsid w:val="00A036DE"/>
    <w:rsid w:val="00A12887"/>
    <w:rsid w:val="00A1622C"/>
    <w:rsid w:val="00A2053C"/>
    <w:rsid w:val="00A243CC"/>
    <w:rsid w:val="00A26E34"/>
    <w:rsid w:val="00A54615"/>
    <w:rsid w:val="00A55325"/>
    <w:rsid w:val="00A61475"/>
    <w:rsid w:val="00A66ED9"/>
    <w:rsid w:val="00A671F5"/>
    <w:rsid w:val="00A9232B"/>
    <w:rsid w:val="00A93754"/>
    <w:rsid w:val="00AA313D"/>
    <w:rsid w:val="00AB41F0"/>
    <w:rsid w:val="00AD1FE7"/>
    <w:rsid w:val="00AD633E"/>
    <w:rsid w:val="00AD7191"/>
    <w:rsid w:val="00AE44A3"/>
    <w:rsid w:val="00B04D0C"/>
    <w:rsid w:val="00B13607"/>
    <w:rsid w:val="00B15D96"/>
    <w:rsid w:val="00B16236"/>
    <w:rsid w:val="00B233E5"/>
    <w:rsid w:val="00B40309"/>
    <w:rsid w:val="00B50222"/>
    <w:rsid w:val="00B56080"/>
    <w:rsid w:val="00B57564"/>
    <w:rsid w:val="00B7173F"/>
    <w:rsid w:val="00B87710"/>
    <w:rsid w:val="00B9797C"/>
    <w:rsid w:val="00B979EB"/>
    <w:rsid w:val="00BA0016"/>
    <w:rsid w:val="00BA43D7"/>
    <w:rsid w:val="00BA495D"/>
    <w:rsid w:val="00BD67A8"/>
    <w:rsid w:val="00BE1174"/>
    <w:rsid w:val="00BF159F"/>
    <w:rsid w:val="00BF1EDE"/>
    <w:rsid w:val="00C02C77"/>
    <w:rsid w:val="00C21F88"/>
    <w:rsid w:val="00C340DC"/>
    <w:rsid w:val="00C5733D"/>
    <w:rsid w:val="00C6333A"/>
    <w:rsid w:val="00C75F6B"/>
    <w:rsid w:val="00C83FAF"/>
    <w:rsid w:val="00C9719A"/>
    <w:rsid w:val="00CA32BF"/>
    <w:rsid w:val="00CA343D"/>
    <w:rsid w:val="00CB629B"/>
    <w:rsid w:val="00CC3142"/>
    <w:rsid w:val="00CC38F9"/>
    <w:rsid w:val="00CC54B0"/>
    <w:rsid w:val="00CC60DB"/>
    <w:rsid w:val="00CD1690"/>
    <w:rsid w:val="00CD4CAA"/>
    <w:rsid w:val="00CD50C4"/>
    <w:rsid w:val="00CD594B"/>
    <w:rsid w:val="00CE1C4C"/>
    <w:rsid w:val="00CE608D"/>
    <w:rsid w:val="00CE6704"/>
    <w:rsid w:val="00D15289"/>
    <w:rsid w:val="00D43DEC"/>
    <w:rsid w:val="00D444AC"/>
    <w:rsid w:val="00D45E53"/>
    <w:rsid w:val="00D63C49"/>
    <w:rsid w:val="00D750D7"/>
    <w:rsid w:val="00D82C9D"/>
    <w:rsid w:val="00D87E38"/>
    <w:rsid w:val="00D91BC6"/>
    <w:rsid w:val="00D95F45"/>
    <w:rsid w:val="00DB06E1"/>
    <w:rsid w:val="00DB2FF0"/>
    <w:rsid w:val="00DB690C"/>
    <w:rsid w:val="00DC2827"/>
    <w:rsid w:val="00DC2FE0"/>
    <w:rsid w:val="00DC6BF0"/>
    <w:rsid w:val="00DE2E40"/>
    <w:rsid w:val="00E00153"/>
    <w:rsid w:val="00E12D20"/>
    <w:rsid w:val="00E1537B"/>
    <w:rsid w:val="00E173A6"/>
    <w:rsid w:val="00E34BCC"/>
    <w:rsid w:val="00E43C60"/>
    <w:rsid w:val="00E45051"/>
    <w:rsid w:val="00E51CF7"/>
    <w:rsid w:val="00E62352"/>
    <w:rsid w:val="00E63815"/>
    <w:rsid w:val="00E66A17"/>
    <w:rsid w:val="00E72562"/>
    <w:rsid w:val="00E73A33"/>
    <w:rsid w:val="00E7516E"/>
    <w:rsid w:val="00E81A0E"/>
    <w:rsid w:val="00E96C3B"/>
    <w:rsid w:val="00EA682A"/>
    <w:rsid w:val="00EB2823"/>
    <w:rsid w:val="00ED4F93"/>
    <w:rsid w:val="00ED7E84"/>
    <w:rsid w:val="00EE4551"/>
    <w:rsid w:val="00EE7219"/>
    <w:rsid w:val="00F00648"/>
    <w:rsid w:val="00F228D5"/>
    <w:rsid w:val="00F277AD"/>
    <w:rsid w:val="00F335E1"/>
    <w:rsid w:val="00F33663"/>
    <w:rsid w:val="00F44190"/>
    <w:rsid w:val="00F46808"/>
    <w:rsid w:val="00F63E07"/>
    <w:rsid w:val="00F73FBD"/>
    <w:rsid w:val="00F82ADB"/>
    <w:rsid w:val="00F91448"/>
    <w:rsid w:val="00F9750F"/>
    <w:rsid w:val="00FA03E3"/>
    <w:rsid w:val="00FA7E0E"/>
    <w:rsid w:val="00FC59B7"/>
    <w:rsid w:val="00FD3BC1"/>
    <w:rsid w:val="00FD5A86"/>
    <w:rsid w:val="00FE627F"/>
    <w:rsid w:val="00FF3033"/>
    <w:rsid w:val="00FF4958"/>
    <w:rsid w:val="00FF528E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B6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DB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qFormat/>
    <w:rsid w:val="00911CDB"/>
    <w:pPr>
      <w:keepNext/>
      <w:widowControl w:val="0"/>
      <w:numPr>
        <w:numId w:val="1"/>
      </w:numPr>
      <w:spacing w:before="200" w:after="0" w:line="240" w:lineRule="auto"/>
      <w:jc w:val="both"/>
      <w:outlineLvl w:val="0"/>
    </w:pPr>
    <w:rPr>
      <w:rFonts w:eastAsia="Times New Roman" w:cs="Arial"/>
      <w:b/>
      <w:bCs/>
      <w:caps/>
      <w:color w:val="244061" w:themeColor="accent1" w:themeShade="80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911CDB"/>
    <w:pPr>
      <w:keepNext/>
      <w:widowControl w:val="0"/>
      <w:numPr>
        <w:ilvl w:val="1"/>
        <w:numId w:val="1"/>
      </w:numPr>
      <w:spacing w:before="120" w:after="0" w:line="240" w:lineRule="auto"/>
      <w:ind w:left="1152"/>
      <w:jc w:val="both"/>
      <w:outlineLvl w:val="1"/>
    </w:pPr>
    <w:rPr>
      <w:rFonts w:eastAsia="Times New Roman" w:cs="Arial"/>
      <w:b/>
      <w:bCs/>
      <w:color w:val="244061" w:themeColor="accent1" w:themeShade="80"/>
      <w:sz w:val="26"/>
      <w:szCs w:val="28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F73FBD"/>
    <w:pPr>
      <w:keepNext/>
      <w:widowControl w:val="0"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Arial"/>
      <w:b/>
      <w:bCs/>
      <w:i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3FBD"/>
    <w:pPr>
      <w:keepNext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3FBD"/>
    <w:pPr>
      <w:widowControl w:val="0"/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73FBD"/>
    <w:pPr>
      <w:widowControl w:val="0"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3FBD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73FBD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73FBD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E4C"/>
  </w:style>
  <w:style w:type="paragraph" w:styleId="Pieddepage">
    <w:name w:val="footer"/>
    <w:basedOn w:val="Normal"/>
    <w:link w:val="Pieddepag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E4C"/>
  </w:style>
  <w:style w:type="paragraph" w:styleId="Textedebulles">
    <w:name w:val="Balloon Text"/>
    <w:basedOn w:val="Normal"/>
    <w:link w:val="TextedebullesCar"/>
    <w:uiPriority w:val="99"/>
    <w:semiHidden/>
    <w:unhideWhenUsed/>
    <w:rsid w:val="00F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FB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11CDB"/>
    <w:rPr>
      <w:rFonts w:ascii="Century Gothic" w:eastAsia="Times New Roman" w:hAnsi="Century Gothic" w:cs="Arial"/>
      <w:b/>
      <w:bCs/>
      <w:caps/>
      <w:color w:val="244061" w:themeColor="accent1" w:themeShade="80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11CDB"/>
    <w:rPr>
      <w:rFonts w:ascii="Century Gothic" w:eastAsia="Times New Roman" w:hAnsi="Century Gothic" w:cs="Arial"/>
      <w:b/>
      <w:bCs/>
      <w:color w:val="244061" w:themeColor="accent1" w:themeShade="80"/>
      <w:sz w:val="26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F73FBD"/>
    <w:rPr>
      <w:rFonts w:ascii="Arial" w:eastAsia="Times New Roman" w:hAnsi="Arial" w:cs="Arial"/>
      <w:b/>
      <w:bCs/>
      <w:i/>
      <w:sz w:val="20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F73FB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F73FBD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F73FBD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F73F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F73FB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F73FBD"/>
    <w:rPr>
      <w:rFonts w:ascii="Arial" w:eastAsia="Times New Roman" w:hAnsi="Arial" w:cs="Arial"/>
      <w:lang w:eastAsia="fr-FR"/>
    </w:rPr>
  </w:style>
  <w:style w:type="paragraph" w:customStyle="1" w:styleId="Legendes">
    <w:name w:val="Legendes"/>
    <w:basedOn w:val="Normal"/>
    <w:qFormat/>
    <w:rsid w:val="008E4B8C"/>
    <w:pPr>
      <w:widowControl w:val="0"/>
      <w:spacing w:before="120" w:after="0" w:line="240" w:lineRule="auto"/>
      <w:jc w:val="center"/>
    </w:pPr>
    <w:rPr>
      <w:rFonts w:eastAsia="Times New Roman" w:cs="Arial"/>
      <w:i/>
      <w:szCs w:val="24"/>
      <w:lang w:eastAsia="fr-FR"/>
    </w:rPr>
  </w:style>
  <w:style w:type="paragraph" w:customStyle="1" w:styleId="Normaltiret">
    <w:name w:val="Normaltiret"/>
    <w:basedOn w:val="Normal"/>
    <w:qFormat/>
    <w:rsid w:val="00AE44A3"/>
    <w:pPr>
      <w:widowControl w:val="0"/>
      <w:numPr>
        <w:numId w:val="2"/>
      </w:numPr>
      <w:spacing w:before="120" w:after="0" w:line="240" w:lineRule="auto"/>
      <w:ind w:left="720"/>
      <w:jc w:val="both"/>
    </w:pPr>
    <w:rPr>
      <w:rFonts w:eastAsia="Times New Roman" w:cs="Times New Roman"/>
      <w:szCs w:val="24"/>
      <w:lang w:eastAsia="fr-FR"/>
    </w:rPr>
  </w:style>
  <w:style w:type="paragraph" w:customStyle="1" w:styleId="titreanx">
    <w:name w:val="titreanx"/>
    <w:basedOn w:val="Titre1"/>
    <w:rsid w:val="00F73FBD"/>
    <w:pPr>
      <w:numPr>
        <w:numId w:val="0"/>
      </w:numPr>
    </w:pPr>
    <w:rPr>
      <w:rFonts w:ascii="Arial" w:hAnsi="Arial"/>
    </w:rPr>
  </w:style>
  <w:style w:type="character" w:styleId="Rfrenceintense">
    <w:name w:val="Intense Reference"/>
    <w:aliases w:val="Référence"/>
    <w:uiPriority w:val="32"/>
    <w:qFormat/>
    <w:rsid w:val="00911CDB"/>
    <w:rPr>
      <w:rFonts w:ascii="Century Gothic" w:hAnsi="Century Gothic"/>
      <w:sz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330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0B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0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BB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5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4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461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46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CDB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qFormat/>
    <w:rsid w:val="00911CDB"/>
    <w:pPr>
      <w:keepNext/>
      <w:widowControl w:val="0"/>
      <w:numPr>
        <w:numId w:val="1"/>
      </w:numPr>
      <w:spacing w:before="200" w:after="0" w:line="240" w:lineRule="auto"/>
      <w:jc w:val="both"/>
      <w:outlineLvl w:val="0"/>
    </w:pPr>
    <w:rPr>
      <w:rFonts w:eastAsia="Times New Roman" w:cs="Arial"/>
      <w:b/>
      <w:bCs/>
      <w:caps/>
      <w:color w:val="244061" w:themeColor="accent1" w:themeShade="80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911CDB"/>
    <w:pPr>
      <w:keepNext/>
      <w:widowControl w:val="0"/>
      <w:numPr>
        <w:ilvl w:val="1"/>
        <w:numId w:val="1"/>
      </w:numPr>
      <w:spacing w:before="120" w:after="0" w:line="240" w:lineRule="auto"/>
      <w:ind w:left="1152"/>
      <w:jc w:val="both"/>
      <w:outlineLvl w:val="1"/>
    </w:pPr>
    <w:rPr>
      <w:rFonts w:eastAsia="Times New Roman" w:cs="Arial"/>
      <w:b/>
      <w:bCs/>
      <w:color w:val="244061" w:themeColor="accent1" w:themeShade="80"/>
      <w:sz w:val="26"/>
      <w:szCs w:val="28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F73FBD"/>
    <w:pPr>
      <w:keepNext/>
      <w:widowControl w:val="0"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Arial"/>
      <w:b/>
      <w:bCs/>
      <w:i/>
      <w:sz w:val="20"/>
      <w:szCs w:val="26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3FBD"/>
    <w:pPr>
      <w:keepNext/>
      <w:widowControl w:val="0"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3FBD"/>
    <w:pPr>
      <w:widowControl w:val="0"/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73FBD"/>
    <w:pPr>
      <w:widowControl w:val="0"/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3FBD"/>
    <w:pPr>
      <w:widowControl w:val="0"/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73FBD"/>
    <w:pPr>
      <w:widowControl w:val="0"/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73FBD"/>
    <w:pPr>
      <w:widowControl w:val="0"/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E4C"/>
  </w:style>
  <w:style w:type="paragraph" w:styleId="Pieddepage">
    <w:name w:val="footer"/>
    <w:basedOn w:val="Normal"/>
    <w:link w:val="PieddepageCar"/>
    <w:uiPriority w:val="99"/>
    <w:unhideWhenUsed/>
    <w:rsid w:val="0031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E4C"/>
  </w:style>
  <w:style w:type="paragraph" w:styleId="Textedebulles">
    <w:name w:val="Balloon Text"/>
    <w:basedOn w:val="Normal"/>
    <w:link w:val="TextedebullesCar"/>
    <w:uiPriority w:val="99"/>
    <w:semiHidden/>
    <w:unhideWhenUsed/>
    <w:rsid w:val="00F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FB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11CDB"/>
    <w:rPr>
      <w:rFonts w:ascii="Century Gothic" w:eastAsia="Times New Roman" w:hAnsi="Century Gothic" w:cs="Arial"/>
      <w:b/>
      <w:bCs/>
      <w:caps/>
      <w:color w:val="244061" w:themeColor="accent1" w:themeShade="80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11CDB"/>
    <w:rPr>
      <w:rFonts w:ascii="Century Gothic" w:eastAsia="Times New Roman" w:hAnsi="Century Gothic" w:cs="Arial"/>
      <w:b/>
      <w:bCs/>
      <w:color w:val="244061" w:themeColor="accent1" w:themeShade="80"/>
      <w:sz w:val="26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F73FBD"/>
    <w:rPr>
      <w:rFonts w:ascii="Arial" w:eastAsia="Times New Roman" w:hAnsi="Arial" w:cs="Arial"/>
      <w:b/>
      <w:bCs/>
      <w:i/>
      <w:sz w:val="20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F73FB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F73FBD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F73FBD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F73F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F73FB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F73FBD"/>
    <w:rPr>
      <w:rFonts w:ascii="Arial" w:eastAsia="Times New Roman" w:hAnsi="Arial" w:cs="Arial"/>
      <w:lang w:eastAsia="fr-FR"/>
    </w:rPr>
  </w:style>
  <w:style w:type="paragraph" w:customStyle="1" w:styleId="Legendes">
    <w:name w:val="Legendes"/>
    <w:basedOn w:val="Normal"/>
    <w:qFormat/>
    <w:rsid w:val="008E4B8C"/>
    <w:pPr>
      <w:widowControl w:val="0"/>
      <w:spacing w:before="120" w:after="0" w:line="240" w:lineRule="auto"/>
      <w:jc w:val="center"/>
    </w:pPr>
    <w:rPr>
      <w:rFonts w:eastAsia="Times New Roman" w:cs="Arial"/>
      <w:i/>
      <w:szCs w:val="24"/>
      <w:lang w:eastAsia="fr-FR"/>
    </w:rPr>
  </w:style>
  <w:style w:type="paragraph" w:customStyle="1" w:styleId="Normaltiret">
    <w:name w:val="Normaltiret"/>
    <w:basedOn w:val="Normal"/>
    <w:qFormat/>
    <w:rsid w:val="00AE44A3"/>
    <w:pPr>
      <w:widowControl w:val="0"/>
      <w:numPr>
        <w:numId w:val="2"/>
      </w:numPr>
      <w:spacing w:before="120" w:after="0" w:line="240" w:lineRule="auto"/>
      <w:ind w:left="720"/>
      <w:jc w:val="both"/>
    </w:pPr>
    <w:rPr>
      <w:rFonts w:eastAsia="Times New Roman" w:cs="Times New Roman"/>
      <w:szCs w:val="24"/>
      <w:lang w:eastAsia="fr-FR"/>
    </w:rPr>
  </w:style>
  <w:style w:type="paragraph" w:customStyle="1" w:styleId="titreanx">
    <w:name w:val="titreanx"/>
    <w:basedOn w:val="Titre1"/>
    <w:rsid w:val="00F73FBD"/>
    <w:pPr>
      <w:numPr>
        <w:numId w:val="0"/>
      </w:numPr>
    </w:pPr>
    <w:rPr>
      <w:rFonts w:ascii="Arial" w:hAnsi="Arial"/>
    </w:rPr>
  </w:style>
  <w:style w:type="character" w:styleId="Rfrenceintense">
    <w:name w:val="Intense Reference"/>
    <w:aliases w:val="Référence"/>
    <w:uiPriority w:val="32"/>
    <w:qFormat/>
    <w:rsid w:val="00911CDB"/>
    <w:rPr>
      <w:rFonts w:ascii="Century Gothic" w:hAnsi="Century Gothic"/>
      <w:sz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330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0B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0B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BB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5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4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461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levisage@parisnanterr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levisag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D663-29D4-4D90-B521-59C627EB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2582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Editors</dc:creator>
  <cp:lastModifiedBy>BUISSON André</cp:lastModifiedBy>
  <cp:revision>4</cp:revision>
  <cp:lastPrinted>2019-03-29T17:21:00Z</cp:lastPrinted>
  <dcterms:created xsi:type="dcterms:W3CDTF">2019-05-27T11:58:00Z</dcterms:created>
  <dcterms:modified xsi:type="dcterms:W3CDTF">2019-06-24T09:31:00Z</dcterms:modified>
</cp:coreProperties>
</file>