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31" w:rsidRDefault="004A4F00" w:rsidP="00312E4C">
      <w:pPr>
        <w:rPr>
          <w:b/>
          <w:color w:val="244061" w:themeColor="accent1" w:themeShade="80"/>
          <w:sz w:val="24"/>
          <w:szCs w:val="24"/>
        </w:rPr>
      </w:pPr>
      <w:r>
        <w:rPr>
          <w:b/>
          <w:color w:val="244061" w:themeColor="accent1" w:themeShade="80"/>
          <w:sz w:val="24"/>
          <w:szCs w:val="24"/>
        </w:rPr>
        <w:t xml:space="preserve">Présentation. </w:t>
      </w:r>
      <w:r w:rsidR="00234231" w:rsidRPr="00745EC3">
        <w:rPr>
          <w:b/>
          <w:color w:val="244061" w:themeColor="accent1" w:themeShade="80"/>
          <w:sz w:val="24"/>
          <w:szCs w:val="24"/>
        </w:rPr>
        <w:t xml:space="preserve">Economies et réallocations d’eau dans le bassin de la Durance : </w:t>
      </w:r>
      <w:r w:rsidR="00420358">
        <w:rPr>
          <w:b/>
          <w:color w:val="244061" w:themeColor="accent1" w:themeShade="80"/>
          <w:sz w:val="24"/>
          <w:szCs w:val="24"/>
        </w:rPr>
        <w:t xml:space="preserve">analyse de deux </w:t>
      </w:r>
      <w:r w:rsidR="000F5F63">
        <w:rPr>
          <w:b/>
          <w:color w:val="244061" w:themeColor="accent1" w:themeShade="80"/>
          <w:sz w:val="24"/>
          <w:szCs w:val="24"/>
        </w:rPr>
        <w:t>dispositifs de gestion en faveur des milieux naturels</w:t>
      </w:r>
    </w:p>
    <w:p w:rsidR="00312E4C" w:rsidRPr="00911CDB" w:rsidRDefault="00623AA3" w:rsidP="00312E4C">
      <w:pPr>
        <w:rPr>
          <w:b/>
          <w:color w:val="244061" w:themeColor="accent1" w:themeShade="80"/>
          <w:sz w:val="24"/>
          <w:szCs w:val="24"/>
        </w:rPr>
      </w:pPr>
      <w:r w:rsidRPr="00911CDB">
        <w:rPr>
          <w:b/>
          <w:color w:val="244061" w:themeColor="accent1" w:themeShade="80"/>
          <w:sz w:val="24"/>
          <w:szCs w:val="24"/>
        </w:rPr>
        <w:t>Nom</w:t>
      </w:r>
      <w:r w:rsidR="00354A58">
        <w:rPr>
          <w:b/>
          <w:color w:val="244061" w:themeColor="accent1" w:themeShade="80"/>
          <w:sz w:val="24"/>
          <w:szCs w:val="24"/>
        </w:rPr>
        <w:t> : Laurenceau</w:t>
      </w:r>
    </w:p>
    <w:p w:rsidR="00623AA3" w:rsidRPr="00911CDB" w:rsidRDefault="00623AA3" w:rsidP="00312E4C">
      <w:pPr>
        <w:rPr>
          <w:b/>
          <w:color w:val="244061" w:themeColor="accent1" w:themeShade="80"/>
          <w:sz w:val="24"/>
          <w:szCs w:val="24"/>
        </w:rPr>
      </w:pPr>
      <w:r w:rsidRPr="00911CDB">
        <w:rPr>
          <w:b/>
          <w:color w:val="244061" w:themeColor="accent1" w:themeShade="80"/>
          <w:sz w:val="24"/>
          <w:szCs w:val="24"/>
        </w:rPr>
        <w:t>Prénom</w:t>
      </w:r>
      <w:r w:rsidR="00354A58">
        <w:rPr>
          <w:b/>
          <w:color w:val="244061" w:themeColor="accent1" w:themeShade="80"/>
          <w:sz w:val="24"/>
          <w:szCs w:val="24"/>
        </w:rPr>
        <w:t> : Martin</w:t>
      </w:r>
    </w:p>
    <w:p w:rsidR="002E3637" w:rsidRPr="00911CDB" w:rsidRDefault="002E3637" w:rsidP="00312E4C">
      <w:pPr>
        <w:rPr>
          <w:b/>
          <w:color w:val="244061" w:themeColor="accent1" w:themeShade="80"/>
          <w:sz w:val="24"/>
          <w:szCs w:val="24"/>
        </w:rPr>
      </w:pPr>
      <w:r w:rsidRPr="00911CDB">
        <w:rPr>
          <w:b/>
          <w:color w:val="244061" w:themeColor="accent1" w:themeShade="80"/>
          <w:sz w:val="24"/>
          <w:szCs w:val="24"/>
        </w:rPr>
        <w:t>Titre de la thèse</w:t>
      </w:r>
      <w:r w:rsidR="00354A58">
        <w:rPr>
          <w:b/>
          <w:color w:val="244061" w:themeColor="accent1" w:themeShade="80"/>
          <w:sz w:val="24"/>
          <w:szCs w:val="24"/>
        </w:rPr>
        <w:t xml:space="preserve">. </w:t>
      </w:r>
      <w:r w:rsidR="00745EC3" w:rsidRPr="00745EC3">
        <w:rPr>
          <w:b/>
          <w:color w:val="244061" w:themeColor="accent1" w:themeShade="80"/>
          <w:sz w:val="24"/>
          <w:szCs w:val="24"/>
        </w:rPr>
        <w:t>Economies et réallocations d’eau dans le bassin de la Durance : quelle redistribution des coûts et bénéfices entre usages et</w:t>
      </w:r>
      <w:r w:rsidR="002C4FE1">
        <w:rPr>
          <w:b/>
          <w:color w:val="244061" w:themeColor="accent1" w:themeShade="80"/>
          <w:sz w:val="24"/>
          <w:szCs w:val="24"/>
        </w:rPr>
        <w:t xml:space="preserve"> </w:t>
      </w:r>
      <w:r w:rsidR="00745EC3" w:rsidRPr="00745EC3">
        <w:rPr>
          <w:b/>
          <w:color w:val="244061" w:themeColor="accent1" w:themeShade="80"/>
          <w:sz w:val="24"/>
          <w:szCs w:val="24"/>
        </w:rPr>
        <w:t>territoires ?</w:t>
      </w:r>
    </w:p>
    <w:p w:rsidR="00E96C3B" w:rsidRDefault="00E96C3B" w:rsidP="00312E4C">
      <w:pPr>
        <w:rPr>
          <w:b/>
          <w:color w:val="244061" w:themeColor="accent1" w:themeShade="80"/>
          <w:sz w:val="24"/>
          <w:szCs w:val="24"/>
        </w:rPr>
      </w:pPr>
      <w:r>
        <w:rPr>
          <w:b/>
          <w:color w:val="244061" w:themeColor="accent1" w:themeShade="80"/>
          <w:sz w:val="24"/>
          <w:szCs w:val="24"/>
        </w:rPr>
        <w:t>Discipline(s)</w:t>
      </w:r>
      <w:r w:rsidR="00354A58">
        <w:rPr>
          <w:b/>
          <w:color w:val="244061" w:themeColor="accent1" w:themeShade="80"/>
          <w:sz w:val="24"/>
          <w:szCs w:val="24"/>
        </w:rPr>
        <w:t> : Sciences de gestion de l’e</w:t>
      </w:r>
      <w:r w:rsidR="006B79E4">
        <w:rPr>
          <w:b/>
          <w:color w:val="244061" w:themeColor="accent1" w:themeShade="80"/>
          <w:sz w:val="24"/>
          <w:szCs w:val="24"/>
        </w:rPr>
        <w:t>nvironnement et s</w:t>
      </w:r>
      <w:r w:rsidR="00354A58">
        <w:rPr>
          <w:b/>
          <w:color w:val="244061" w:themeColor="accent1" w:themeShade="80"/>
          <w:sz w:val="24"/>
          <w:szCs w:val="24"/>
        </w:rPr>
        <w:t>ciences politiques</w:t>
      </w:r>
    </w:p>
    <w:p w:rsidR="00623AA3" w:rsidRPr="00911CDB" w:rsidRDefault="00623AA3" w:rsidP="00312E4C">
      <w:pPr>
        <w:rPr>
          <w:b/>
          <w:color w:val="244061" w:themeColor="accent1" w:themeShade="80"/>
          <w:sz w:val="24"/>
          <w:szCs w:val="24"/>
        </w:rPr>
      </w:pPr>
      <w:r w:rsidRPr="00911CDB">
        <w:rPr>
          <w:b/>
          <w:color w:val="244061" w:themeColor="accent1" w:themeShade="80"/>
          <w:sz w:val="24"/>
          <w:szCs w:val="24"/>
        </w:rPr>
        <w:t>Directeur de thèse</w:t>
      </w:r>
      <w:r w:rsidR="00354A58">
        <w:rPr>
          <w:b/>
          <w:color w:val="244061" w:themeColor="accent1" w:themeShade="80"/>
          <w:sz w:val="24"/>
          <w:szCs w:val="24"/>
        </w:rPr>
        <w:t> : François Molle</w:t>
      </w:r>
    </w:p>
    <w:p w:rsidR="00623AA3" w:rsidRPr="00911CDB" w:rsidRDefault="00623AA3" w:rsidP="00312E4C">
      <w:pPr>
        <w:rPr>
          <w:b/>
          <w:color w:val="244061" w:themeColor="accent1" w:themeShade="80"/>
          <w:sz w:val="24"/>
          <w:szCs w:val="24"/>
        </w:rPr>
      </w:pPr>
      <w:r w:rsidRPr="00911CDB">
        <w:rPr>
          <w:b/>
          <w:color w:val="244061" w:themeColor="accent1" w:themeShade="80"/>
          <w:sz w:val="24"/>
          <w:szCs w:val="24"/>
        </w:rPr>
        <w:t>Financement de la thèse</w:t>
      </w:r>
      <w:r w:rsidR="00354A58">
        <w:rPr>
          <w:b/>
          <w:color w:val="244061" w:themeColor="accent1" w:themeShade="80"/>
          <w:sz w:val="24"/>
          <w:szCs w:val="24"/>
        </w:rPr>
        <w:t> : co-financement du Ministère de la transition écologique et solidaire et de l’IRD</w:t>
      </w:r>
    </w:p>
    <w:p w:rsidR="002E3637" w:rsidRPr="00911CDB" w:rsidRDefault="002E3637" w:rsidP="00312E4C">
      <w:pPr>
        <w:rPr>
          <w:color w:val="244061" w:themeColor="accent1" w:themeShade="80"/>
          <w:sz w:val="24"/>
          <w:szCs w:val="24"/>
        </w:rPr>
      </w:pPr>
      <w:r w:rsidRPr="00911CDB">
        <w:rPr>
          <w:b/>
          <w:color w:val="244061" w:themeColor="accent1" w:themeShade="80"/>
          <w:sz w:val="24"/>
          <w:szCs w:val="24"/>
        </w:rPr>
        <w:t>Date d’inscription en thèse</w:t>
      </w:r>
      <w:r w:rsidR="00354A58">
        <w:rPr>
          <w:b/>
          <w:color w:val="244061" w:themeColor="accent1" w:themeShade="80"/>
          <w:sz w:val="24"/>
          <w:szCs w:val="24"/>
        </w:rPr>
        <w:t> : 1</w:t>
      </w:r>
      <w:r w:rsidR="00354A58" w:rsidRPr="00354A58">
        <w:rPr>
          <w:b/>
          <w:color w:val="244061" w:themeColor="accent1" w:themeShade="80"/>
          <w:sz w:val="24"/>
          <w:szCs w:val="24"/>
          <w:vertAlign w:val="superscript"/>
        </w:rPr>
        <w:t>er</w:t>
      </w:r>
      <w:r w:rsidR="00354A58">
        <w:rPr>
          <w:b/>
          <w:color w:val="244061" w:themeColor="accent1" w:themeShade="80"/>
          <w:sz w:val="24"/>
          <w:szCs w:val="24"/>
        </w:rPr>
        <w:t xml:space="preserve"> septembre 2018</w:t>
      </w:r>
    </w:p>
    <w:p w:rsidR="00312E4C" w:rsidRPr="007C0F40" w:rsidRDefault="00F73FBD" w:rsidP="00312E4C">
      <w:pPr>
        <w:rPr>
          <w:b/>
          <w:color w:val="244061" w:themeColor="accent1" w:themeShade="80"/>
          <w:sz w:val="24"/>
          <w:szCs w:val="24"/>
        </w:rPr>
      </w:pPr>
      <w:r w:rsidRPr="00911CDB">
        <w:rPr>
          <w:b/>
          <w:color w:val="244061" w:themeColor="accent1" w:themeShade="80"/>
          <w:sz w:val="24"/>
          <w:szCs w:val="24"/>
        </w:rPr>
        <w:t>Organismes et adresses (mai</w:t>
      </w:r>
      <w:r w:rsidR="00312E4C" w:rsidRPr="00911CDB">
        <w:rPr>
          <w:b/>
          <w:color w:val="244061" w:themeColor="accent1" w:themeShade="80"/>
          <w:sz w:val="24"/>
          <w:szCs w:val="24"/>
        </w:rPr>
        <w:t>ls)</w:t>
      </w:r>
      <w:r w:rsidR="00354A58">
        <w:rPr>
          <w:b/>
          <w:color w:val="244061" w:themeColor="accent1" w:themeShade="80"/>
          <w:sz w:val="24"/>
          <w:szCs w:val="24"/>
        </w:rPr>
        <w:t> : Institut de Recherche pour le Développement</w:t>
      </w:r>
      <w:r w:rsidR="007C0F40">
        <w:rPr>
          <w:b/>
          <w:color w:val="244061" w:themeColor="accent1" w:themeShade="80"/>
          <w:sz w:val="24"/>
          <w:szCs w:val="24"/>
        </w:rPr>
        <w:t>, Agroparistech, hébergement à l’UMR G-EAU (</w:t>
      </w:r>
      <w:r w:rsidR="007C0F40" w:rsidRPr="007C0F40">
        <w:rPr>
          <w:b/>
          <w:color w:val="244061" w:themeColor="accent1" w:themeShade="80"/>
          <w:sz w:val="24"/>
          <w:szCs w:val="24"/>
        </w:rPr>
        <w:t>361 Rue Jean François Breton, 34090 Montpellier</w:t>
      </w:r>
      <w:r w:rsidR="007C0F40">
        <w:rPr>
          <w:b/>
          <w:color w:val="244061" w:themeColor="accent1" w:themeShade="80"/>
          <w:sz w:val="24"/>
          <w:szCs w:val="24"/>
        </w:rPr>
        <w:t>)</w:t>
      </w:r>
    </w:p>
    <w:p w:rsidR="00F73FBD" w:rsidRPr="00911CDB" w:rsidRDefault="00F73FBD" w:rsidP="00312E4C">
      <w:pPr>
        <w:rPr>
          <w:color w:val="244061" w:themeColor="accent1" w:themeShade="80"/>
          <w:sz w:val="28"/>
          <w:szCs w:val="28"/>
        </w:rPr>
      </w:pPr>
      <w:r w:rsidRPr="00911CDB">
        <w:rPr>
          <w:b/>
          <w:color w:val="244061" w:themeColor="accent1" w:themeShade="80"/>
          <w:sz w:val="28"/>
          <w:szCs w:val="28"/>
        </w:rPr>
        <w:t>Format de présentation</w:t>
      </w:r>
    </w:p>
    <w:p w:rsidR="00312E4C" w:rsidRPr="00911CDB" w:rsidRDefault="00FD3A2B" w:rsidP="00F73FBD">
      <w:pPr>
        <w:tabs>
          <w:tab w:val="left" w:pos="735"/>
        </w:tabs>
        <w:spacing w:after="0"/>
        <w:ind w:left="708"/>
      </w:pPr>
      <w:sdt>
        <w:sdtPr>
          <w:id w:val="281389156"/>
          <w14:checkbox>
            <w14:checked w14:val="1"/>
            <w14:checkedState w14:val="2612" w14:font="MS Gothic"/>
            <w14:uncheckedState w14:val="2610" w14:font="MS Gothic"/>
          </w14:checkbox>
        </w:sdtPr>
        <w:sdtEndPr/>
        <w:sdtContent>
          <w:r w:rsidR="00354A58">
            <w:rPr>
              <w:rFonts w:ascii="MS Gothic" w:eastAsia="MS Gothic" w:hAnsi="MS Gothic" w:hint="eastAsia"/>
            </w:rPr>
            <w:t>☒</w:t>
          </w:r>
        </w:sdtContent>
      </w:sdt>
      <w:r w:rsidR="00F73FBD" w:rsidRPr="00911CDB">
        <w:tab/>
        <w:t>Communication orale (15 minutes)</w:t>
      </w:r>
    </w:p>
    <w:p w:rsidR="00F73FBD" w:rsidRPr="00911CDB" w:rsidRDefault="00FD3A2B" w:rsidP="00F73FBD">
      <w:pPr>
        <w:tabs>
          <w:tab w:val="left" w:pos="735"/>
        </w:tabs>
        <w:spacing w:after="0"/>
        <w:ind w:left="708"/>
      </w:pPr>
      <w:sdt>
        <w:sdtPr>
          <w:id w:val="194044402"/>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t xml:space="preserve">Poster </w:t>
      </w:r>
      <w:r w:rsidR="00BA43D7" w:rsidRPr="00872D90">
        <w:t>(format A0)</w:t>
      </w:r>
    </w:p>
    <w:p w:rsidR="00312E4C" w:rsidRPr="00911CDB" w:rsidRDefault="00FD3A2B" w:rsidP="00FC3972">
      <w:pPr>
        <w:tabs>
          <w:tab w:val="left" w:pos="735"/>
        </w:tabs>
        <w:spacing w:after="0"/>
        <w:ind w:left="708"/>
      </w:pPr>
      <w:sdt>
        <w:sdtPr>
          <w:id w:val="1584798783"/>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r>
      <w:r w:rsidR="00915C4A" w:rsidRPr="00911CDB">
        <w:t>« M</w:t>
      </w:r>
      <w:r w:rsidR="00F73FBD" w:rsidRPr="00911CDB">
        <w:t xml:space="preserve">a thèse en trois </w:t>
      </w:r>
      <w:r w:rsidR="007C0F40" w:rsidRPr="00911CDB">
        <w:t>images et</w:t>
      </w:r>
      <w:r w:rsidR="00780C6A" w:rsidRPr="00911CDB">
        <w:t xml:space="preserve"> 180 secondes </w:t>
      </w:r>
      <w:r w:rsidR="00F73FBD" w:rsidRPr="00911CDB">
        <w:t>» (</w:t>
      </w:r>
      <w:r w:rsidR="00915C4A" w:rsidRPr="00911CDB">
        <w:t>3 minutes)</w:t>
      </w:r>
    </w:p>
    <w:p w:rsidR="00312E4C" w:rsidRPr="00911CDB" w:rsidRDefault="00312E4C" w:rsidP="00312E4C">
      <w:pPr>
        <w:rPr>
          <w:b/>
          <w:color w:val="244061" w:themeColor="accent1" w:themeShade="80"/>
          <w:sz w:val="28"/>
          <w:szCs w:val="28"/>
        </w:rPr>
      </w:pPr>
      <w:r w:rsidRPr="00911CDB">
        <w:rPr>
          <w:b/>
          <w:color w:val="244061" w:themeColor="accent1" w:themeShade="80"/>
          <w:sz w:val="28"/>
          <w:szCs w:val="28"/>
        </w:rPr>
        <w:t>R</w:t>
      </w:r>
      <w:r w:rsidR="00BA43D7" w:rsidRPr="00911CDB">
        <w:rPr>
          <w:b/>
          <w:color w:val="244061" w:themeColor="accent1" w:themeShade="80"/>
          <w:sz w:val="28"/>
          <w:szCs w:val="28"/>
        </w:rPr>
        <w:t>ésumé</w:t>
      </w:r>
    </w:p>
    <w:p w:rsidR="009B15DE" w:rsidRDefault="0028700A" w:rsidP="00FB2B42">
      <w:pPr>
        <w:jc w:val="both"/>
        <w:rPr>
          <w:bCs/>
        </w:rPr>
      </w:pPr>
      <w:r>
        <w:rPr>
          <w:lang w:eastAsia="fr-FR"/>
        </w:rPr>
        <w:t xml:space="preserve">Depuis la fin des années 1970, </w:t>
      </w:r>
      <w:r w:rsidR="009B15DE">
        <w:rPr>
          <w:lang w:eastAsia="fr-FR"/>
        </w:rPr>
        <w:t>plusieurs institutions publiques (</w:t>
      </w:r>
      <w:r w:rsidR="009138AD">
        <w:rPr>
          <w:lang w:eastAsia="fr-FR"/>
        </w:rPr>
        <w:t>A</w:t>
      </w:r>
      <w:bookmarkStart w:id="0" w:name="_GoBack"/>
      <w:bookmarkEnd w:id="0"/>
      <w:r w:rsidR="009B15DE">
        <w:rPr>
          <w:lang w:eastAsia="fr-FR"/>
        </w:rPr>
        <w:t>gence de l’eau Rhône Méditerranée et Corse</w:t>
      </w:r>
      <w:r w:rsidR="00CB1236">
        <w:rPr>
          <w:lang w:eastAsia="fr-FR"/>
        </w:rPr>
        <w:t>, Région Provence-Alpes-</w:t>
      </w:r>
      <w:r w:rsidR="009B15DE">
        <w:rPr>
          <w:lang w:eastAsia="fr-FR"/>
        </w:rPr>
        <w:t>Côte d’Azur</w:t>
      </w:r>
      <w:r w:rsidR="00CB1236">
        <w:rPr>
          <w:lang w:eastAsia="fr-FR"/>
        </w:rPr>
        <w:t>, conseils généraux…</w:t>
      </w:r>
      <w:r w:rsidR="009B15DE">
        <w:rPr>
          <w:lang w:eastAsia="fr-FR"/>
        </w:rPr>
        <w:t>) encouragent la réalisation d’économie d’eau dans le bassin versant de la Durance.</w:t>
      </w:r>
      <w:r>
        <w:rPr>
          <w:bCs/>
        </w:rPr>
        <w:t xml:space="preserve"> Cette politique d’économie </w:t>
      </w:r>
      <w:r w:rsidR="009B15DE">
        <w:rPr>
          <w:bCs/>
        </w:rPr>
        <w:t>s’est accentuée lors des derniers programmes d’intervention de l’agence de l’eau, atteignant 10% du budget global du 11</w:t>
      </w:r>
      <w:r w:rsidR="009B15DE" w:rsidRPr="00445BE5">
        <w:rPr>
          <w:bCs/>
          <w:vertAlign w:val="superscript"/>
        </w:rPr>
        <w:t>ème</w:t>
      </w:r>
      <w:r w:rsidR="009B15DE">
        <w:rPr>
          <w:bCs/>
        </w:rPr>
        <w:t xml:space="preserve"> programme</w:t>
      </w:r>
      <w:r>
        <w:rPr>
          <w:bCs/>
        </w:rPr>
        <w:t>, avec l’objectif de réallouer les économies réalisées aux milieux naturels.</w:t>
      </w:r>
    </w:p>
    <w:p w:rsidR="00FB2B42" w:rsidRDefault="009B15DE" w:rsidP="00FB2B42">
      <w:pPr>
        <w:jc w:val="both"/>
        <w:rPr>
          <w:bCs/>
        </w:rPr>
      </w:pPr>
      <w:r>
        <w:rPr>
          <w:bCs/>
        </w:rPr>
        <w:t>Tou</w:t>
      </w:r>
      <w:r w:rsidR="00CB1236">
        <w:rPr>
          <w:bCs/>
        </w:rPr>
        <w:t>tefois, après 40 ans d’économie</w:t>
      </w:r>
      <w:r>
        <w:rPr>
          <w:bCs/>
        </w:rPr>
        <w:t xml:space="preserve"> d’eau et 20 ans de réallocation environnementale dans le bassin de la Durance, peu d’analyses ont été menées sur l’évolution des dispositifs de financement et leurs conséquences en termes de redistribution des flux d’eau, des coûts et des bénéfices associés entre usages et territoires multiples. </w:t>
      </w:r>
    </w:p>
    <w:p w:rsidR="00312E4C" w:rsidRPr="008E002F" w:rsidRDefault="00FB2B42" w:rsidP="008E002F">
      <w:pPr>
        <w:jc w:val="both"/>
        <w:rPr>
          <w:bCs/>
        </w:rPr>
      </w:pPr>
      <w:r>
        <w:rPr>
          <w:bCs/>
        </w:rPr>
        <w:lastRenderedPageBreak/>
        <w:t xml:space="preserve">Grâce à une approche basée en sciences de gestion de l’environnement et en sciences politiques, nous analysons dans cette présentation </w:t>
      </w:r>
      <w:r w:rsidR="009E2287">
        <w:rPr>
          <w:bCs/>
        </w:rPr>
        <w:t>plusieurs</w:t>
      </w:r>
      <w:r>
        <w:rPr>
          <w:bCs/>
        </w:rPr>
        <w:t xml:space="preserve"> types de financement des économies et réallocations d’eau, en montrant comment ils constituent des agencements spécifiques </w:t>
      </w:r>
      <w:r w:rsidR="009B15DE">
        <w:rPr>
          <w:bCs/>
        </w:rPr>
        <w:t xml:space="preserve">d’éléments réglementaires, cognitifs et matériels, traduisant une certaine problématisation de la situation. Dans un deuxième temps, nous </w:t>
      </w:r>
      <w:r w:rsidR="0028700A">
        <w:rPr>
          <w:bCs/>
        </w:rPr>
        <w:t>analysons l’effet potentiel de ces dispositifs à partir de deux cas d’étude.</w:t>
      </w:r>
    </w:p>
    <w:p w:rsidR="00312E4C" w:rsidRPr="00911CDB" w:rsidRDefault="00312E4C" w:rsidP="00312E4C">
      <w:pPr>
        <w:rPr>
          <w:b/>
          <w:color w:val="244061" w:themeColor="accent1" w:themeShade="80"/>
          <w:sz w:val="28"/>
          <w:szCs w:val="28"/>
        </w:rPr>
      </w:pPr>
      <w:r w:rsidRPr="00911CDB">
        <w:rPr>
          <w:b/>
          <w:color w:val="244061" w:themeColor="accent1" w:themeShade="80"/>
          <w:sz w:val="28"/>
          <w:szCs w:val="28"/>
        </w:rPr>
        <w:t>M</w:t>
      </w:r>
      <w:r w:rsidR="00BA43D7" w:rsidRPr="00911CDB">
        <w:rPr>
          <w:b/>
          <w:color w:val="244061" w:themeColor="accent1" w:themeShade="80"/>
          <w:sz w:val="28"/>
          <w:szCs w:val="28"/>
        </w:rPr>
        <w:t>ots-</w:t>
      </w:r>
      <w:r w:rsidRPr="00911CDB">
        <w:rPr>
          <w:b/>
          <w:color w:val="244061" w:themeColor="accent1" w:themeShade="80"/>
          <w:sz w:val="28"/>
          <w:szCs w:val="28"/>
        </w:rPr>
        <w:t>C</w:t>
      </w:r>
      <w:r w:rsidR="00BA43D7" w:rsidRPr="00911CDB">
        <w:rPr>
          <w:b/>
          <w:color w:val="244061" w:themeColor="accent1" w:themeShade="80"/>
          <w:sz w:val="28"/>
          <w:szCs w:val="28"/>
        </w:rPr>
        <w:t>lés</w:t>
      </w:r>
    </w:p>
    <w:p w:rsidR="00312E4C" w:rsidRPr="00911CDB" w:rsidRDefault="00F77286" w:rsidP="00312E4C">
      <w:r>
        <w:t>Economies d’eau, réallocations environnementales, dispositifs de financement, bassin versant de la Durance.</w:t>
      </w:r>
    </w:p>
    <w:p w:rsidR="001E66D7" w:rsidRPr="00911CDB" w:rsidRDefault="001E66D7" w:rsidP="00312E4C"/>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pStyle w:val="Titre1"/>
        <w:numPr>
          <w:ilvl w:val="0"/>
          <w:numId w:val="0"/>
        </w:numPr>
        <w:spacing w:before="360"/>
      </w:pPr>
    </w:p>
    <w:p w:rsidR="00635C6A" w:rsidRDefault="00635C6A" w:rsidP="00635C6A">
      <w:pPr>
        <w:rPr>
          <w:lang w:eastAsia="fr-FR"/>
        </w:rPr>
      </w:pPr>
    </w:p>
    <w:p w:rsidR="00635C6A" w:rsidRDefault="00635C6A" w:rsidP="00635C6A">
      <w:pPr>
        <w:rPr>
          <w:lang w:eastAsia="fr-FR"/>
        </w:rPr>
      </w:pPr>
    </w:p>
    <w:p w:rsidR="00635C6A" w:rsidRPr="00635C6A" w:rsidRDefault="00635C6A" w:rsidP="00635C6A">
      <w:pPr>
        <w:rPr>
          <w:lang w:eastAsia="fr-FR"/>
        </w:rPr>
      </w:pPr>
    </w:p>
    <w:p w:rsidR="00F73FBD" w:rsidRDefault="004B6E64" w:rsidP="00635C6A">
      <w:pPr>
        <w:pStyle w:val="Titre1"/>
        <w:numPr>
          <w:ilvl w:val="0"/>
          <w:numId w:val="0"/>
        </w:numPr>
        <w:spacing w:before="360"/>
      </w:pPr>
      <w:r>
        <w:t>Contexte</w:t>
      </w:r>
      <w:r w:rsidR="00A30025">
        <w:t xml:space="preserve"> et problematique</w:t>
      </w:r>
    </w:p>
    <w:p w:rsidR="005343C6" w:rsidRDefault="005343C6" w:rsidP="00EA30BE">
      <w:pPr>
        <w:jc w:val="both"/>
        <w:rPr>
          <w:bCs/>
        </w:rPr>
      </w:pPr>
      <w:r>
        <w:rPr>
          <w:lang w:eastAsia="fr-FR"/>
        </w:rPr>
        <w:t>Depuis l</w:t>
      </w:r>
      <w:r w:rsidR="00A30025">
        <w:rPr>
          <w:lang w:eastAsia="fr-FR"/>
        </w:rPr>
        <w:t>a fin des</w:t>
      </w:r>
      <w:r>
        <w:rPr>
          <w:lang w:eastAsia="fr-FR"/>
        </w:rPr>
        <w:t xml:space="preserve"> années </w:t>
      </w:r>
      <w:r w:rsidR="00A30025">
        <w:rPr>
          <w:lang w:eastAsia="fr-FR"/>
        </w:rPr>
        <w:t>1970, plusieurs institutions publiques (agence de l’eau Rhône Méditerranée et Corse, Ministère en charge de l’agr</w:t>
      </w:r>
      <w:r w:rsidR="00917DB9">
        <w:rPr>
          <w:lang w:eastAsia="fr-FR"/>
        </w:rPr>
        <w:t>iculture, Région Provence-Alpes-</w:t>
      </w:r>
      <w:r w:rsidR="00A30025">
        <w:rPr>
          <w:lang w:eastAsia="fr-FR"/>
        </w:rPr>
        <w:t>Côte d’Azur, conseils généraux) encouragent à la réalisation d’économies d’eau</w:t>
      </w:r>
      <w:r w:rsidR="00EA30BE">
        <w:rPr>
          <w:lang w:eastAsia="fr-FR"/>
        </w:rPr>
        <w:t xml:space="preserve"> dans le bassin versant de la Durance</w:t>
      </w:r>
      <w:r w:rsidR="00A30025">
        <w:rPr>
          <w:lang w:eastAsia="fr-FR"/>
        </w:rPr>
        <w:t xml:space="preserve">. Ces économies </w:t>
      </w:r>
      <w:r w:rsidR="001B2246">
        <w:rPr>
          <w:lang w:eastAsia="fr-FR"/>
        </w:rPr>
        <w:t>ont été</w:t>
      </w:r>
      <w:r w:rsidR="00A30025">
        <w:rPr>
          <w:lang w:eastAsia="fr-FR"/>
        </w:rPr>
        <w:t xml:space="preserve"> principalement remobilisées pour </w:t>
      </w:r>
      <w:r w:rsidR="001B2246">
        <w:rPr>
          <w:lang w:eastAsia="fr-FR"/>
        </w:rPr>
        <w:t>d</w:t>
      </w:r>
      <w:r w:rsidR="00A30025">
        <w:rPr>
          <w:lang w:eastAsia="fr-FR"/>
        </w:rPr>
        <w:t xml:space="preserve">es usages agricoles et hydroélectriques jusqu’aux années 2000, au moment </w:t>
      </w:r>
      <w:r w:rsidR="00F678F4">
        <w:rPr>
          <w:lang w:eastAsia="fr-FR"/>
        </w:rPr>
        <w:t>où</w:t>
      </w:r>
      <w:r w:rsidR="00A30025">
        <w:rPr>
          <w:lang w:eastAsia="fr-FR"/>
        </w:rPr>
        <w:t xml:space="preserve"> s’opère </w:t>
      </w:r>
      <w:r w:rsidR="00B554F4">
        <w:rPr>
          <w:lang w:eastAsia="fr-FR"/>
        </w:rPr>
        <w:t>un tournant afin de réallouer les économies aux milieux naturels</w:t>
      </w:r>
      <w:r w:rsidR="00715E11">
        <w:rPr>
          <w:lang w:eastAsia="fr-FR"/>
        </w:rPr>
        <w:t xml:space="preserve"> (Balland</w:t>
      </w:r>
      <w:r w:rsidR="00055F9D">
        <w:rPr>
          <w:lang w:eastAsia="fr-FR"/>
        </w:rPr>
        <w:t xml:space="preserve"> </w:t>
      </w:r>
      <w:r w:rsidR="00715E11">
        <w:rPr>
          <w:lang w:eastAsia="fr-FR"/>
        </w:rPr>
        <w:t xml:space="preserve">et al. </w:t>
      </w:r>
      <w:r w:rsidR="00055F9D">
        <w:rPr>
          <w:lang w:eastAsia="fr-FR"/>
        </w:rPr>
        <w:t xml:space="preserve">2002, </w:t>
      </w:r>
      <w:r w:rsidR="00055F9D">
        <w:rPr>
          <w:bCs/>
        </w:rPr>
        <w:t>p. 40).</w:t>
      </w:r>
      <w:r w:rsidR="004E7FE3">
        <w:rPr>
          <w:bCs/>
        </w:rPr>
        <w:t xml:space="preserve"> </w:t>
      </w:r>
      <w:r w:rsidR="00AA74EF">
        <w:rPr>
          <w:bCs/>
        </w:rPr>
        <w:t>La politique d’économie d’eau s’est accentuée lors des derniers programmes d’intervention de l’agence de l’eau,</w:t>
      </w:r>
      <w:r w:rsidR="00445BE5">
        <w:rPr>
          <w:bCs/>
        </w:rPr>
        <w:t xml:space="preserve"> atteignant 10% du budget global du 11</w:t>
      </w:r>
      <w:r w:rsidR="00445BE5" w:rsidRPr="00445BE5">
        <w:rPr>
          <w:bCs/>
          <w:vertAlign w:val="superscript"/>
        </w:rPr>
        <w:t>ème</w:t>
      </w:r>
      <w:r w:rsidR="00445BE5">
        <w:rPr>
          <w:bCs/>
        </w:rPr>
        <w:t xml:space="preserve"> programme et</w:t>
      </w:r>
      <w:r w:rsidR="00AA74EF">
        <w:rPr>
          <w:bCs/>
        </w:rPr>
        <w:t xml:space="preserve"> devenant une condition d’éligibilité </w:t>
      </w:r>
      <w:r w:rsidR="00445BE5">
        <w:rPr>
          <w:bCs/>
        </w:rPr>
        <w:t>pour l’</w:t>
      </w:r>
      <w:r w:rsidR="00AA74EF">
        <w:rPr>
          <w:bCs/>
        </w:rPr>
        <w:t>accès aux aides p</w:t>
      </w:r>
      <w:r w:rsidR="00445BE5">
        <w:rPr>
          <w:bCs/>
        </w:rPr>
        <w:t>a</w:t>
      </w:r>
      <w:r w:rsidR="00AA74EF">
        <w:rPr>
          <w:bCs/>
        </w:rPr>
        <w:t>r les gestionnaires de canaux agricoles.</w:t>
      </w:r>
      <w:r w:rsidR="00531186">
        <w:rPr>
          <w:bCs/>
        </w:rPr>
        <w:t xml:space="preserve"> La mise à disposition des économies réalisées</w:t>
      </w:r>
      <w:r w:rsidR="00DB380F">
        <w:rPr>
          <w:bCs/>
        </w:rPr>
        <w:t xml:space="preserve"> pour les milieux duranciens (par l’intermédiaire d’un « compte épargne volume »</w:t>
      </w:r>
      <w:r w:rsidR="009A6AC9">
        <w:rPr>
          <w:bCs/>
        </w:rPr>
        <w:t>)</w:t>
      </w:r>
      <w:r w:rsidR="00DB380F">
        <w:rPr>
          <w:bCs/>
        </w:rPr>
        <w:t xml:space="preserve"> est également devenue une condition d’attribution des aides.</w:t>
      </w:r>
    </w:p>
    <w:p w:rsidR="00375693" w:rsidRPr="00210F17" w:rsidRDefault="00DB380F" w:rsidP="00EA30BE">
      <w:pPr>
        <w:jc w:val="both"/>
        <w:rPr>
          <w:bCs/>
        </w:rPr>
      </w:pPr>
      <w:r>
        <w:rPr>
          <w:bCs/>
        </w:rPr>
        <w:t>Tou</w:t>
      </w:r>
      <w:r w:rsidR="00917DB9">
        <w:rPr>
          <w:bCs/>
        </w:rPr>
        <w:t>tefois, après 40 ans d’économie</w:t>
      </w:r>
      <w:r>
        <w:rPr>
          <w:bCs/>
        </w:rPr>
        <w:t xml:space="preserve"> d’eau et 20 ans de réallocation environnementale dans le bassin de la Durance, peu d’analyses ont été menées sur </w:t>
      </w:r>
      <w:r w:rsidR="00CC05A7">
        <w:rPr>
          <w:bCs/>
        </w:rPr>
        <w:t xml:space="preserve">l’évolution des dispositifs de financement et </w:t>
      </w:r>
      <w:r>
        <w:rPr>
          <w:bCs/>
        </w:rPr>
        <w:t>leurs conséquences en termes de redistribution des flux d’eau,</w:t>
      </w:r>
      <w:r w:rsidR="007B7A27">
        <w:rPr>
          <w:bCs/>
        </w:rPr>
        <w:t xml:space="preserve"> </w:t>
      </w:r>
      <w:r>
        <w:rPr>
          <w:bCs/>
        </w:rPr>
        <w:t>des coûts et des bénéfices associés entre usages et territoires multiples.</w:t>
      </w:r>
      <w:r w:rsidR="007B7A27">
        <w:rPr>
          <w:bCs/>
        </w:rPr>
        <w:t xml:space="preserve"> Comment des éléments </w:t>
      </w:r>
      <w:r w:rsidR="00320E24">
        <w:rPr>
          <w:bCs/>
        </w:rPr>
        <w:t xml:space="preserve">réglementaires, </w:t>
      </w:r>
      <w:r w:rsidR="007B7A27">
        <w:rPr>
          <w:bCs/>
        </w:rPr>
        <w:t>cognitifs</w:t>
      </w:r>
      <w:r w:rsidR="00320E24">
        <w:rPr>
          <w:bCs/>
        </w:rPr>
        <w:t xml:space="preserve"> et matériels</w:t>
      </w:r>
      <w:r w:rsidR="007B7A27">
        <w:rPr>
          <w:bCs/>
        </w:rPr>
        <w:t xml:space="preserve"> s’agencent-ils afin de constituer des dispositifs de financement des économies et réallocation d’eau, et des discours de justification de ces outils ?</w:t>
      </w:r>
      <w:r w:rsidR="00320E24">
        <w:rPr>
          <w:bCs/>
        </w:rPr>
        <w:t xml:space="preserve"> </w:t>
      </w:r>
      <w:r w:rsidR="00B94BC8">
        <w:rPr>
          <w:bCs/>
        </w:rPr>
        <w:t xml:space="preserve">Comment les nouveaux dispositifs porteurs d’une logique environnementale réactivent-t-ils des logiques et pratiques antérieures ? </w:t>
      </w:r>
      <w:r w:rsidR="00320E24">
        <w:rPr>
          <w:bCs/>
        </w:rPr>
        <w:t>Quels ont été les impacts de ces dispositifs sur les multiples usages du bassin durancien et sur l’environnement ?</w:t>
      </w:r>
    </w:p>
    <w:p w:rsidR="00F73FBD" w:rsidRPr="00911CDB" w:rsidRDefault="00210F17" w:rsidP="00F73FBD">
      <w:r>
        <w:t xml:space="preserve">Nous présenterons tout d’abord le cadre théorique et la méthodologie (1), avant de nous intéresser aux dispositifs de financements (2) et </w:t>
      </w:r>
      <w:r w:rsidR="003846D9">
        <w:t>à deux études de cas</w:t>
      </w:r>
      <w:r>
        <w:t xml:space="preserve"> (3).</w:t>
      </w:r>
    </w:p>
    <w:p w:rsidR="00F73FBD" w:rsidRPr="00911CDB" w:rsidRDefault="004B6E64" w:rsidP="004B6E64">
      <w:pPr>
        <w:pStyle w:val="Titre1"/>
        <w:numPr>
          <w:ilvl w:val="0"/>
          <w:numId w:val="3"/>
        </w:numPr>
      </w:pPr>
      <w:r>
        <w:t>Cadre théorique et méthodologie</w:t>
      </w:r>
    </w:p>
    <w:p w:rsidR="00F73FBD" w:rsidRPr="00911CDB" w:rsidRDefault="003D3E3C" w:rsidP="003D3E3C">
      <w:pPr>
        <w:pStyle w:val="Titre2"/>
      </w:pPr>
      <w:r>
        <w:t xml:space="preserve">Sociologie de l’action publique et </w:t>
      </w:r>
      <w:r w:rsidRPr="003D3E3C">
        <w:rPr>
          <w:i/>
        </w:rPr>
        <w:t>political ecology</w:t>
      </w:r>
    </w:p>
    <w:p w:rsidR="00480EEF" w:rsidRDefault="00800581" w:rsidP="003D3E3C">
      <w:pPr>
        <w:jc w:val="both"/>
        <w:rPr>
          <w:rFonts w:cstheme="minorHAnsi"/>
        </w:rPr>
      </w:pPr>
      <w:r>
        <w:rPr>
          <w:rFonts w:cstheme="minorHAnsi"/>
        </w:rPr>
        <w:t>Notre approche consiste à articuler l’analyse de la construction des dispositifs de financement d’économie et réallocation d’eau</w:t>
      </w:r>
      <w:r w:rsidR="00917DB9">
        <w:rPr>
          <w:rFonts w:cstheme="minorHAnsi"/>
        </w:rPr>
        <w:t xml:space="preserve"> et des discours qui les portent</w:t>
      </w:r>
      <w:r w:rsidR="00601F5B">
        <w:rPr>
          <w:rFonts w:cstheme="minorHAnsi"/>
        </w:rPr>
        <w:t xml:space="preserve">, avec une compréhension fine de leurs impacts sur la redistribution des coûts et bénéfices entre usages multiples, influençant à leur tour les circuits financiers en jeu. </w:t>
      </w:r>
    </w:p>
    <w:p w:rsidR="007754CA" w:rsidRDefault="00601F5B" w:rsidP="003D3E3C">
      <w:pPr>
        <w:jc w:val="both"/>
        <w:rPr>
          <w:rFonts w:cstheme="minorHAnsi"/>
        </w:rPr>
      </w:pPr>
      <w:r>
        <w:rPr>
          <w:rFonts w:cstheme="minorHAnsi"/>
        </w:rPr>
        <w:t>La sociologie de l’action publique permet d’envisager l</w:t>
      </w:r>
      <w:r w:rsidR="007754CA">
        <w:rPr>
          <w:rFonts w:cstheme="minorHAnsi"/>
        </w:rPr>
        <w:t>es dispositifs d’action publique « </w:t>
      </w:r>
      <w:r w:rsidR="007754CA" w:rsidRPr="007754CA">
        <w:rPr>
          <w:rFonts w:cstheme="minorHAnsi"/>
          <w:i/>
        </w:rPr>
        <w:t>non pas comme des solutions à un problème, mais comme des propositions d’interprétation du monde</w:t>
      </w:r>
      <w:r w:rsidR="00715E11">
        <w:rPr>
          <w:rFonts w:cstheme="minorHAnsi"/>
        </w:rPr>
        <w:t> »</w:t>
      </w:r>
      <w:r w:rsidR="00BE3DC6">
        <w:rPr>
          <w:rFonts w:cstheme="minorHAnsi"/>
        </w:rPr>
        <w:t xml:space="preserve"> </w:t>
      </w:r>
      <w:r w:rsidR="00BE3DC6">
        <w:rPr>
          <w:rFonts w:cstheme="minorHAnsi"/>
        </w:rPr>
        <w:fldChar w:fldCharType="begin" w:fldLock="1"/>
      </w:r>
      <w:r w:rsidR="00BE3DC6">
        <w:rPr>
          <w:rFonts w:cstheme="minorHAnsi"/>
        </w:rPr>
        <w:instrText>ADDIN CSL_CITATION {"citationItems":[{"id":"ITEM-1","itemData":{"author":[{"dropping-particle":"","family":"Muller","given":"Pierre","non-dropping-particle":"","parse-names":false,"suffix":""}],"container-title":"Revue française de science politique","id":"ITEM-1","issue":"2","issued":{"date-parts":[["2000"]]},"page":"189-207","title":"L'analyse cognitive des politiques publiques ; vers une sociologie politique de l'action publique","type":"article-journal","volume":"50"},"uris":["http://www.mendeley.com/documents/?uuid=63555e9c-2354-4c19-af44-dc9305f49b72"]}],"mendeley":{"formattedCitation":"(Muller 2000)","plainTextFormattedCitation":"(Muller 2000)","previouslyFormattedCitation":"(Muller 2000)"},"properties":{"noteIndex":0},"schema":"https://github.com/citation-style-language/schema/raw/master/csl-citation.json"}</w:instrText>
      </w:r>
      <w:r w:rsidR="00BE3DC6">
        <w:rPr>
          <w:rFonts w:cstheme="minorHAnsi"/>
        </w:rPr>
        <w:fldChar w:fldCharType="separate"/>
      </w:r>
      <w:r w:rsidR="00BE3DC6" w:rsidRPr="00BE3DC6">
        <w:rPr>
          <w:rFonts w:cstheme="minorHAnsi"/>
          <w:noProof/>
        </w:rPr>
        <w:t>(Muller 2000)</w:t>
      </w:r>
      <w:r w:rsidR="00BE3DC6">
        <w:rPr>
          <w:rFonts w:cstheme="minorHAnsi"/>
        </w:rPr>
        <w:fldChar w:fldCharType="end"/>
      </w:r>
      <w:r w:rsidR="007754CA">
        <w:rPr>
          <w:rFonts w:cstheme="minorHAnsi"/>
        </w:rPr>
        <w:t>. Les différents instruments mobilisés sont porteurs d’une problématisation particulière des situations</w:t>
      </w:r>
      <w:r w:rsidR="00624CA3">
        <w:rPr>
          <w:rFonts w:cstheme="minorHAnsi"/>
        </w:rPr>
        <w:t xml:space="preserve"> </w:t>
      </w:r>
      <w:r w:rsidR="00D938A4">
        <w:rPr>
          <w:rFonts w:cstheme="minorHAnsi"/>
        </w:rPr>
        <w:fldChar w:fldCharType="begin" w:fldLock="1"/>
      </w:r>
      <w:r w:rsidR="00715E11">
        <w:rPr>
          <w:rFonts w:cstheme="minorHAnsi"/>
        </w:rPr>
        <w:instrText>ADDIN CSL_CITATION {"citationItems":[{"id":"ITEM-1","itemData":{"DOI":"10.3917/rfsp.611.0005","ISBN":"0035-2950\\r1950-6686","ISSN":"0035-2950","abstract":"Les travaux à partir des notions « d’instrument d’action publique » ou de « technologies de gouvernement » ont connu ces dernières années une forte recrudescence dans l’espace francophone. Ils s’appuient sur une tradition anglo-saxonne de plus de quarante années et aujourd’hui très diversifiée, mais ils l’ont enrichi de différents apports allant des théories du pouvoir à la sociologie des sciences. L’article présente ainsi un panorama de la littérature en mettent en valeur la diversité des perspectives qui coexistent et leur évolutions. L’approche par les instruments est un bon traceur de changement de l’action publique, mais aussi des régimes et des styles politiques. Elle incite aussi à saisir l’action publique dans sa matérialité. Comprendre l’instrumentation est une façon de saisir les transformations de l’État en envisageant ses pratiques, et les recompositions qu’elles connaissent, en particulier dans la tension permanente entre contrainte et incitation.","author":[{"dropping-particle":"","family":"Lascoumes","given":"Pierre","non-dropping-particle":"","parse-names":false,"suffix":""},{"dropping-particle":"","family":"Simard","given":"Louis","non-dropping-particle":"","parse-names":false,"suffix":""}],"container-title":"Revue française de science politique","id":"ITEM-1","issue":"1","issued":{"date-parts":[["2011"]]},"page":"5","title":"L'action publique au prisme de ses instruments","type":"article-journal","volume":"61"},"uris":["http://www.mendeley.com/documents/?uuid=50773b81-e995-465a-9347-f5df22e76ef2"]},{"id":"ITEM-2","itemData":{"DOI":"10.7202/017664ar","ISSN":"1203-9438","abstract":"Le texte analyse les changements intervenus en trente cinq ans dans la politique de lutte contre la pollution atmosphérique en France à partir d’une approche en termes d’instrument (réglementaire, techniques et scientifiques). Il caractérise à la fois les effets propres des instruments et les mobilisations d’acteurs qu’ils suscitent. Les transformations sont étudiées en quatre phase : la première part de l’approche réglementaire du problème, la deuxième traite de ses critiques à partir de l’intrusion de nouveaux instruments de mesure, la troisième montre l’impact de la combinaison de nouveaux instruments juridiques et épidémiologiques, la quatrième est centrée sur le processus de stabilisation récent où s’est imposée une nouvelle catégorisation du problème public et des réseaux d’acteurs en charge de sa gestion. Les instruments ont joué un rôle central dans cette dynamique en objectivant le phénomène, en fournissant une grille d’interprétation des causes et en orientant le choix des mesures de gestion. En cela ils sont d’excellents traceurs des changements.","author":[{"dropping-particle":"","family":"Lascoumes","given":"Pierre","non-dropping-particle":"","parse-names":false,"suffix":""}],"container-title":"Politique et Sociétés:","id":"ITEM-2","issue":"2-3","issued":{"date-parts":[["2007"]]},"page":"73","title":"Les instruments d’action publique, traceurs de changement","title-short":"Les instruments d’action publique, traceurs de cha","type":"article-journal","volume":"26"},"uris":["http://www.mendeley.com/documents/?uuid=40b7c117-a3fe-4d31-b930-0f654773dc51"]}],"mendeley":{"formattedCitation":"(Lascoumes and Simard 2011; Lascoumes 2007)","manualFormatting":"(Lascoumes and Simard 2011 ; Lascoumes 2007)","plainTextFormattedCitation":"(Lascoumes and Simard 2011; Lascoumes 2007)","previouslyFormattedCitation":"(Lascoumes and Simard 2011; Lascoumes 2007)"},"properties":{"noteIndex":0},"schema":"https://github.com/citation-style-language/schema/raw/master/csl-citation.json"}</w:instrText>
      </w:r>
      <w:r w:rsidR="00D938A4">
        <w:rPr>
          <w:rFonts w:cstheme="minorHAnsi"/>
        </w:rPr>
        <w:fldChar w:fldCharType="separate"/>
      </w:r>
      <w:r w:rsidR="00D938A4" w:rsidRPr="00D938A4">
        <w:rPr>
          <w:rFonts w:cstheme="minorHAnsi"/>
          <w:noProof/>
        </w:rPr>
        <w:t>(Lascoumes and Simard 2011</w:t>
      </w:r>
      <w:r w:rsidR="00715E11">
        <w:rPr>
          <w:rFonts w:cstheme="minorHAnsi"/>
          <w:noProof/>
        </w:rPr>
        <w:t xml:space="preserve"> </w:t>
      </w:r>
      <w:r w:rsidR="00D938A4" w:rsidRPr="00D938A4">
        <w:rPr>
          <w:rFonts w:cstheme="minorHAnsi"/>
          <w:noProof/>
        </w:rPr>
        <w:t>; Lascoumes 2007)</w:t>
      </w:r>
      <w:r w:rsidR="00D938A4">
        <w:rPr>
          <w:rFonts w:cstheme="minorHAnsi"/>
        </w:rPr>
        <w:fldChar w:fldCharType="end"/>
      </w:r>
      <w:r w:rsidR="008239D1">
        <w:rPr>
          <w:rFonts w:cstheme="minorHAnsi"/>
        </w:rPr>
        <w:t xml:space="preserve">. Il s’agit de comprendre comment se construisent </w:t>
      </w:r>
      <w:r w:rsidR="00E45310">
        <w:rPr>
          <w:rFonts w:cstheme="minorHAnsi"/>
        </w:rPr>
        <w:t>ces dispositifs d’action publique</w:t>
      </w:r>
      <w:r w:rsidR="008239D1">
        <w:rPr>
          <w:rFonts w:cstheme="minorHAnsi"/>
        </w:rPr>
        <w:t xml:space="preserve"> d’une part, et comment les acteurs se </w:t>
      </w:r>
      <w:r w:rsidR="008239D1">
        <w:rPr>
          <w:rFonts w:cstheme="minorHAnsi"/>
        </w:rPr>
        <w:lastRenderedPageBreak/>
        <w:t xml:space="preserve">les approprient </w:t>
      </w:r>
      <w:r w:rsidR="007771D9">
        <w:rPr>
          <w:rFonts w:cstheme="minorHAnsi"/>
        </w:rPr>
        <w:t xml:space="preserve">et participent à leur modification </w:t>
      </w:r>
      <w:r w:rsidR="008239D1">
        <w:rPr>
          <w:rFonts w:cstheme="minorHAnsi"/>
        </w:rPr>
        <w:t>d’autre part.</w:t>
      </w:r>
      <w:r w:rsidR="00D938A4">
        <w:rPr>
          <w:rFonts w:cstheme="minorHAnsi"/>
        </w:rPr>
        <w:t xml:space="preserve"> Les outils de financement sont ainsi l’objet d’entreprises d’intéressement et d’enrôlement (Callon 1986) de la part des organismes financeurs vers les potentiels bénéficiaires mais aussi de ces derniers vers les financeurs afin de réajuster continuellement les dispositifs à leurs enjeux et objectifs.</w:t>
      </w:r>
    </w:p>
    <w:p w:rsidR="00601F5B" w:rsidRDefault="00480EEF" w:rsidP="003D3E3C">
      <w:pPr>
        <w:jc w:val="both"/>
        <w:rPr>
          <w:rFonts w:cstheme="minorHAnsi"/>
        </w:rPr>
      </w:pPr>
      <w:r>
        <w:rPr>
          <w:rFonts w:cstheme="minorHAnsi"/>
        </w:rPr>
        <w:t xml:space="preserve">La </w:t>
      </w:r>
      <w:r w:rsidRPr="00480EEF">
        <w:rPr>
          <w:rFonts w:cstheme="minorHAnsi"/>
          <w:i/>
        </w:rPr>
        <w:t>political ecology</w:t>
      </w:r>
      <w:r>
        <w:rPr>
          <w:rFonts w:cstheme="minorHAnsi"/>
        </w:rPr>
        <w:t xml:space="preserve"> complète cette approche grâce à l’attention portée aux effets des dispositifs analysés sur l’environnement et les différents usages </w:t>
      </w:r>
      <w:r>
        <w:rPr>
          <w:rFonts w:cstheme="minorHAnsi"/>
        </w:rPr>
        <w:fldChar w:fldCharType="begin" w:fldLock="1"/>
      </w:r>
      <w:r w:rsidR="00715E11">
        <w:rPr>
          <w:rFonts w:cstheme="minorHAnsi"/>
        </w:rPr>
        <w:instrText>ADDIN CSL_CITATION {"citationItems":[{"id":"ITEM-1","itemData":{"ISBN":"978-1-84593-538-2","abstract":"Mainstream views of water resource development focus on conventional concepts of supply and demand and often conceive of river basin development as a linear and rational process of harnessing nature and developing water for human use. However, human-environment interactions are more complex and the way societies respond to water challenges is shaped by a number of cultural, environmental, economic and political factors. Using river basin case studies in a variety of contexts, this book provides an overview of how societies have gradually developed their water resources and furthers our understanding of how such resources can be managed successfully or unsuccessfully. Discussing how and why particular options are selected, and why a particular course of events eventually prevails, the book stresses the importance of context and a multidisciplinary approach in moving towards sustainable and equitable development.","author":[{"dropping-particle":"","family":"Molle","given":"François","non-dropping-particle":"","parse-names":false,"suffix":""},{"dropping-particle":"","family":"Wester","given":"Philippus","non-dropping-particle":"","parse-names":false,"suffix":""}],"collection-title":"Comprehensive {Assessment} of {Water} {Management} in {Agriculture} {Series}","id":"ITEM-1","issued":{"date-parts":[["2009"]]},"note":"Google-Books-ID: 9Qt4TKdJpzcC","publisher":"IWMI","title":"River Basin Trajectories : Societies, Environments and Development","title-short":"River {Basin} {Trajectories}","type":"book"},"uris":["http://www.mendeley.com/documents/?uuid=df762e2e-4e66-4722-a6a8-7e8105c95469"]},{"id":"ITEM-2","itemData":{"DOI":"Cited By (since 1996) 18\\nExport Date 9 July 2012\\nSource Scopus","ISBN":"19650175","ISSN":"19650175","abstract":"Anchored in 19th century scientism and an ideology of the domination of nature, inspired by colonial hydraulic feats, and fuelled by technological improvements in high dam constructions and power generation and transmission, largescale water resources development has been a defining feature of the 20th century. Whether out of a need to increase food production, raise rural incomes, or strengthen state building and the legitimacy of the state, governments North and South, East and West embraced the 'hydraulic mission' and entrusted it to powerful state water bureaucracies (hydrocracies). Engaged in the pursuit of iconic and symbolic projects, the massive damming of river systems, and the expansion of largescale public irrigation these hydrocracies have long remained out of reach. While they have enormously contributed to actual welfare, including energy and food generation, flood protection and water supply to urban areas, infrastructural development has often become an end in itself, rather than a means to an end, fuelling rentseeking and symbolising state power. In many places projects have been challenged on the basis of their economic, social or environmental impacts. Water bureaucracies have been challenged internally (within the state bureaucracies or through political changes) and externally (by critiques from civil society and academia, or by reduced funding). They have endeavoured to respond to these challenges by reinventing themselves or deflecting reforms. This paper analyses these transformations, from the emergence of the hydraulic mission and associated water bureaucracies to their adjustment and responses to changing conditions.","author":[{"dropping-particle":"","family":"Molle","given":"François","non-dropping-particle":"","parse-names":false,"suffix":""},{"dropping-particle":"","family":"Mollinga","given":"Peter P.","non-dropping-particle":"","parse-names":false,"suffix":""},{"dropping-particle":"","family":"Wester","given":"Philippus","non-dropping-particle":"","parse-names":false,"suffix":""}],"container-title":"Water Alternatives","id":"ITEM-2","issue":"3","issued":{"date-parts":[["2009"]]},"page":"328-349","title":"Hydraulic bureaucracies and the hydraulic mission: Flows of water, flows of power","title-short":"Hydraulic bureaucracies and the hydraulic mission","type":"article-journal","volume":"2"},"uris":["http://www.mendeley.com/documents/?uuid=b2a68bb2-28d5-45c4-b809-dc33af8a4fca"]}],"mendeley":{"formattedCitation":"(Molle and Wester 2009; Molle, Mollinga, and Wester 2009)","manualFormatting":"(Molle and Wester 2009 ; Molle et al. 2009)","plainTextFormattedCitation":"(Molle and Wester 2009; Molle, Mollinga, and Wester 2009)","previouslyFormattedCitation":"(Molle and Wester 2009; Molle, Mollinga, and Wester 2009)"},"properties":{"noteIndex":0},"schema":"https://github.com/citation-style-language/schema/raw/master/csl-citation.json"}</w:instrText>
      </w:r>
      <w:r>
        <w:rPr>
          <w:rFonts w:cstheme="minorHAnsi"/>
        </w:rPr>
        <w:fldChar w:fldCharType="separate"/>
      </w:r>
      <w:r w:rsidRPr="00480EEF">
        <w:rPr>
          <w:rFonts w:cstheme="minorHAnsi"/>
          <w:noProof/>
        </w:rPr>
        <w:t>(Molle and Wester 2009</w:t>
      </w:r>
      <w:r w:rsidR="00715E11">
        <w:rPr>
          <w:rFonts w:cstheme="minorHAnsi"/>
          <w:noProof/>
        </w:rPr>
        <w:t xml:space="preserve"> </w:t>
      </w:r>
      <w:r w:rsidRPr="00480EEF">
        <w:rPr>
          <w:rFonts w:cstheme="minorHAnsi"/>
          <w:noProof/>
        </w:rPr>
        <w:t>; Molle</w:t>
      </w:r>
      <w:r w:rsidR="00715E11">
        <w:rPr>
          <w:rFonts w:cstheme="minorHAnsi"/>
          <w:noProof/>
        </w:rPr>
        <w:t xml:space="preserve"> et</w:t>
      </w:r>
      <w:r>
        <w:rPr>
          <w:rFonts w:cstheme="minorHAnsi"/>
          <w:noProof/>
        </w:rPr>
        <w:t xml:space="preserve"> al. </w:t>
      </w:r>
      <w:r w:rsidRPr="00480EEF">
        <w:rPr>
          <w:rFonts w:cstheme="minorHAnsi"/>
          <w:noProof/>
        </w:rPr>
        <w:t>2009)</w:t>
      </w:r>
      <w:r>
        <w:rPr>
          <w:rFonts w:cstheme="minorHAnsi"/>
        </w:rPr>
        <w:fldChar w:fldCharType="end"/>
      </w:r>
      <w:r w:rsidR="00163017">
        <w:rPr>
          <w:rFonts w:cstheme="minorHAnsi"/>
        </w:rPr>
        <w:t>. Il s’agit de suivre l’évolution des flux d’eau et des coûts et bénéfices qui y sont associés, de manière concomitante à la circulation des discours et des problématisations</w:t>
      </w:r>
      <w:r w:rsidR="004755FB">
        <w:rPr>
          <w:rFonts w:cstheme="minorHAnsi"/>
        </w:rPr>
        <w:t>, afin de saisir le « cycle hydro</w:t>
      </w:r>
      <w:r w:rsidR="006D4AB5">
        <w:rPr>
          <w:rFonts w:cstheme="minorHAnsi"/>
        </w:rPr>
        <w:t>-</w:t>
      </w:r>
      <w:r w:rsidR="004755FB">
        <w:rPr>
          <w:rFonts w:cstheme="minorHAnsi"/>
        </w:rPr>
        <w:t xml:space="preserve">social » dans ses différentes dimensions </w:t>
      </w:r>
      <w:r w:rsidR="004755FB">
        <w:rPr>
          <w:rFonts w:cstheme="minorHAnsi"/>
        </w:rPr>
        <w:fldChar w:fldCharType="begin" w:fldLock="1"/>
      </w:r>
      <w:r w:rsidR="00715E11">
        <w:rPr>
          <w:rFonts w:cstheme="minorHAnsi"/>
        </w:rPr>
        <w:instrText>ADDIN CSL_CITATION {"citationItems":[{"id":"ITEM-1","itemData":{"DOI":"10.1016/J.GEOFORUM.2013.10.008","ISSN":"0016-7185","abstract":"The relationship between water and society has come to the forefront of critical inquiry in recent years, attracting significant scholarly and popular interest. As the state hydraulic paradigm gives way to modes of water governance, there is a need to recognize, reflect and represent water’s broader social dimensions. In this article, we advance the concept of the hydrosocial cycle as a means of theorizing and analyzing water-society relations. The hydrosocial cycle is based on the concept of the hydrologic cycle, but modifies it in important ways. While the hydrologic cycle has the effect of separating water from its social context, the hydrosocial cycle deliberately attends to water’s social and political nature. We employ a relational-dialectical approach to conceptualize the hydrosocial cycle as a socio-natural process by which water and society make and remake each other over space and time. We argue that unravelling this historical and geographical process of making and remaking offers analytical insights into the social construction and production of water, the ways by which it is made known, and the power relations that are embedded in hydrosocial change. We contend that the hydrosocial cycle comprises a process of co-constitution as well as material circulation. Existing work within the political ecology tradition considers the co-constitution of water and power, particularly in relation to processes of capital accumulation. We propose the hydrosocial cycle as an analytical tool for investigating hydrosocial relations and as a broader framework for undertaking critical political ecologies of water.","author":[{"dropping-particle":"","family":"Linton","given":"Jamie","non-dropping-particle":"","parse-names":false,"suffix":""},{"dropping-particle":"","family":"Budds","given":"Jessica","non-dropping-particle":"","parse-names":false,"suffix":""}],"container-title":"Geoforum","id":"ITEM-1","issued":{"date-parts":[["2014","11","1"]]},"page":"170-180","publisher":"Pergamon","title":"The hydrosocial cycle: Defining and mobilizing a relational-dialectical approach to water","type":"article-journal","volume":"57"},"uris":["http://www.mendeley.com/documents/?uuid=cdc516ce-0478-3383-b923-41151a78daf7"]},{"id":"ITEM-2","itemData":{"DOI":"10.3917/quae.gaut.2012.01.0021","ISBN":"978-2-7592-1818-9","author":[{"dropping-particle":"","family":"Robbins","given":"Paul","non-dropping-particle":"","parse-names":false,"suffix":""}],"container-title":"Environnement, discours et pouvoir","id":"ITEM-2","issued":{"date-parts":[["2012"]]},"page":"21","publisher":"Editions Quæ","title":"Qu’est-ce que la &lt;i&gt;political ecology&lt;/i&gt; ?","type":"chapter"},"uris":["http://www.mendeley.com/documents/?uuid=f31accc4-62de-4ec2-b4b3-d0ece1ac9d0b"]}],"mendeley":{"formattedCitation":"(Linton and Budds 2014; Robbins 2012)","manualFormatting":"(Linton and Budds 2014 ; Robbins 2012)","plainTextFormattedCitation":"(Linton and Budds 2014; Robbins 2012)","previouslyFormattedCitation":"(Linton and Budds 2014; Robbins 2012)"},"properties":{"noteIndex":0},"schema":"https://github.com/citation-style-language/schema/raw/master/csl-citation.json"}</w:instrText>
      </w:r>
      <w:r w:rsidR="004755FB">
        <w:rPr>
          <w:rFonts w:cstheme="minorHAnsi"/>
        </w:rPr>
        <w:fldChar w:fldCharType="separate"/>
      </w:r>
      <w:r w:rsidR="004755FB" w:rsidRPr="004755FB">
        <w:rPr>
          <w:rFonts w:cstheme="minorHAnsi"/>
          <w:noProof/>
        </w:rPr>
        <w:t>(Linton and Budds 2014</w:t>
      </w:r>
      <w:r w:rsidR="00715E11">
        <w:rPr>
          <w:rFonts w:cstheme="minorHAnsi"/>
          <w:noProof/>
        </w:rPr>
        <w:t xml:space="preserve"> </w:t>
      </w:r>
      <w:r w:rsidR="004755FB" w:rsidRPr="004755FB">
        <w:rPr>
          <w:rFonts w:cstheme="minorHAnsi"/>
          <w:noProof/>
        </w:rPr>
        <w:t>; Robbins 2012)</w:t>
      </w:r>
      <w:r w:rsidR="004755FB">
        <w:rPr>
          <w:rFonts w:cstheme="minorHAnsi"/>
        </w:rPr>
        <w:fldChar w:fldCharType="end"/>
      </w:r>
      <w:r w:rsidR="00163017">
        <w:rPr>
          <w:rFonts w:cstheme="minorHAnsi"/>
        </w:rPr>
        <w:t>.</w:t>
      </w:r>
      <w:r w:rsidR="00C52530">
        <w:rPr>
          <w:rFonts w:cstheme="minorHAnsi"/>
        </w:rPr>
        <w:t xml:space="preserve"> La redistribution des flux d’eau</w:t>
      </w:r>
      <w:r w:rsidR="00733F16">
        <w:rPr>
          <w:rFonts w:cstheme="minorHAnsi"/>
        </w:rPr>
        <w:t xml:space="preserve"> et l’évolution des infrastructures</w:t>
      </w:r>
      <w:r w:rsidR="00C52530">
        <w:rPr>
          <w:rFonts w:cstheme="minorHAnsi"/>
        </w:rPr>
        <w:t xml:space="preserve"> participe</w:t>
      </w:r>
      <w:r w:rsidR="00733F16">
        <w:rPr>
          <w:rFonts w:cstheme="minorHAnsi"/>
        </w:rPr>
        <w:t>nt</w:t>
      </w:r>
      <w:r w:rsidR="00C52530">
        <w:rPr>
          <w:rFonts w:cstheme="minorHAnsi"/>
        </w:rPr>
        <w:t xml:space="preserve"> à </w:t>
      </w:r>
      <w:r w:rsidR="00733F16">
        <w:rPr>
          <w:rFonts w:cstheme="minorHAnsi"/>
        </w:rPr>
        <w:t>leur</w:t>
      </w:r>
      <w:r w:rsidR="00C52530">
        <w:rPr>
          <w:rFonts w:cstheme="minorHAnsi"/>
        </w:rPr>
        <w:t xml:space="preserve"> tour </w:t>
      </w:r>
      <w:r w:rsidR="00733F16">
        <w:rPr>
          <w:rFonts w:cstheme="minorHAnsi"/>
        </w:rPr>
        <w:t xml:space="preserve">à </w:t>
      </w:r>
      <w:r w:rsidR="00C52530">
        <w:rPr>
          <w:rFonts w:cstheme="minorHAnsi"/>
        </w:rPr>
        <w:t xml:space="preserve">modifier ou perpétuer les dynamiques </w:t>
      </w:r>
      <w:r w:rsidR="00733F16">
        <w:rPr>
          <w:rFonts w:cstheme="minorHAnsi"/>
        </w:rPr>
        <w:t xml:space="preserve">de financement et les arrangements institutionnels entre acteurs </w:t>
      </w:r>
      <w:r w:rsidR="00733F16">
        <w:rPr>
          <w:rFonts w:cstheme="minorHAnsi"/>
        </w:rPr>
        <w:fldChar w:fldCharType="begin" w:fldLock="1"/>
      </w:r>
      <w:r w:rsidR="00344818">
        <w:rPr>
          <w:rFonts w:cstheme="minorHAnsi"/>
        </w:rPr>
        <w:instrText>ADDIN CSL_CITATION {"citationItems":[{"id":"ITEM-1","itemData":{"abstract":"This paper explores the relationship between governance regime and large-scale irrigation system design by investigating three cases: 1) protective irrigation design in post-independent South India; 2) canal irrigation system design in Khorezm Province, Uzbekistan, as implemented in the USSR period, and 3) canal design by the Madras Irrigation and Canal Company, as part of an experiment to do canal irrigation development in colonial India on commercial terms in the 1850s-1860s. The mutual shaping of irrigation infrastructure design characteristics on the one hand and management requirements and conditions on the other has been documented primarily at lower, within-system levels of the irrigation systems, notably at the level of division structures. Taking a 'social construction of technology' perspective, the paper analyses the relationship between technological structures and management and governance arrangements at irrigation system level. The paper finds qualitative differences in the infrastructural configuration of the three irrigation systems expressing and facilitating particular forms of governance and rule, differences that matter for management and use, and their effects and impacts.","author":[{"dropping-particle":"","family":"Mollinga","given":"Peter P","non-dropping-particle":"","parse-names":false,"suffix":""},{"dropping-particle":"","family":"Veldwisch","given":"Gert Jan","non-dropping-particle":"","parse-names":false,"suffix":""}],"container-title":"Water Alternatives","id":"ITEM-1","issue":"2","issued":{"date-parts":[["2016"]]},"page":"222-249","title":"Ruling by Canal: Governance and System-Level Design Characteristics of Large-Scale Irrigation Infrastructure in India and Uzbekistan","type":"article-journal","volume":"9"},"uris":["http://www.mendeley.com/documents/?uuid=f8235fea-8bbd-34d2-bf02-f904a060566a"]}],"mendeley":{"formattedCitation":"(Mollinga and Veldwisch 2016)","plainTextFormattedCitation":"(Mollinga and Veldwisch 2016)","previouslyFormattedCitation":"(Mollinga and Veldwisch 2016)"},"properties":{"noteIndex":0},"schema":"https://github.com/citation-style-language/schema/raw/master/csl-citation.json"}</w:instrText>
      </w:r>
      <w:r w:rsidR="00733F16">
        <w:rPr>
          <w:rFonts w:cstheme="minorHAnsi"/>
        </w:rPr>
        <w:fldChar w:fldCharType="separate"/>
      </w:r>
      <w:r w:rsidR="00733F16" w:rsidRPr="00733F16">
        <w:rPr>
          <w:rFonts w:cstheme="minorHAnsi"/>
          <w:noProof/>
        </w:rPr>
        <w:t>(Mollinga and Veldwisch 2016)</w:t>
      </w:r>
      <w:r w:rsidR="00733F16">
        <w:rPr>
          <w:rFonts w:cstheme="minorHAnsi"/>
        </w:rPr>
        <w:fldChar w:fldCharType="end"/>
      </w:r>
      <w:r w:rsidR="00733F16">
        <w:rPr>
          <w:rFonts w:cstheme="minorHAnsi"/>
        </w:rPr>
        <w:t>.</w:t>
      </w:r>
      <w:r w:rsidR="00C52530">
        <w:rPr>
          <w:rFonts w:cstheme="minorHAnsi"/>
        </w:rPr>
        <w:t xml:space="preserve"> </w:t>
      </w:r>
    </w:p>
    <w:p w:rsidR="003D3E3C" w:rsidRDefault="006708C6" w:rsidP="006708C6">
      <w:pPr>
        <w:pStyle w:val="Titre2"/>
      </w:pPr>
      <w:r>
        <w:t>Méthodologie</w:t>
      </w:r>
    </w:p>
    <w:p w:rsidR="003D3E3C" w:rsidRDefault="003D3E3C" w:rsidP="003D3E3C">
      <w:pPr>
        <w:spacing w:after="0"/>
        <w:jc w:val="both"/>
      </w:pPr>
      <w:r>
        <w:t xml:space="preserve">Trois matériaux seront mobilisés : des articles scientifiques et rapports administratifs ou études, des observations sur le terrain, et des entretiens semi-directifs. </w:t>
      </w:r>
      <w:r w:rsidR="00B3437D">
        <w:t xml:space="preserve">Notre démarche est inductive, des allers-retours constants ont lieu entre l’analyse bibliographique, le travail d’observation et de réalisation d’entretiens sur le terrain, et la problématique de recherche. </w:t>
      </w:r>
      <w:r>
        <w:t>La réalisation d’entretiens semi-directifs repose principalement sur les méthodes de l’ethnographie et de la sociologie</w:t>
      </w:r>
      <w:r w:rsidR="00421E01">
        <w:t xml:space="preserve"> </w:t>
      </w:r>
      <w:r w:rsidR="00715E11">
        <w:fldChar w:fldCharType="begin" w:fldLock="1"/>
      </w:r>
      <w:r w:rsidR="00024C29">
        <w:instrText>ADDIN CSL_CITATION {"citationItems":[{"id":"ITEM-1","itemData":{"author":[{"dropping-particle":"","family":"Beaud","given":"Stéphane","non-dropping-particle":"","parse-names":false,"suffix":""},{"dropping-particle":"","family":"Weber","given":"Florence","non-dropping-particle":"","parse-names":false,"suffix":""}],"edition":"La Découve","id":"ITEM-1","issued":{"date-parts":[["2010"]]},"number-of-pages":"334","title":"Guide de l'enquête de terrain. Produire et analyser des données ethnographiques","type":"book"},"uris":["http://www.mendeley.com/documents/?uuid=a5681942-a396-3c69-b730-f1213a3d911d"]},{"id":"ITEM-2","itemData":{"DOI":"10.4000/enquete.263","ISBN":"1245-2084\\r1953-809X","ISSN":"1245-2084","abstract":"Le mode particulier de production de données qu’est l’enquête de terrain, en anthropologie (ou en sociologie dite parfois « qualitative »), passe pour l’essentiel par des interactions prolongées entre le chercheur en personne et le « milieu » qu’il étudie. C’est avant tout une question de savoir-faire, s’apprenant par la pratique, et non formalisable. Mais cette configuration méthodologique spécifique n’est pas pour autant sans principes, ni soumise aux seuls aléas de la subjectivité. Une « politique du terrain » soucieuse de répondre à des exigences de plausibilité et de validité doit se donner certains repères, qu’on s’efforce ici de décrire, à travers les quatre grands types de données produites : (a) l’observation participante (observations et interactions engendrant des données de corpus et des données d’imprégnation) ; (b) les entretiens (consultations et récits dans un registre conversationnel, à fonction récursive, relevant de « négociations invisibles ») ; (c) les dispositifs de recensions (procédures systématiques et intensives d’observation et de mesure) ; (d) les sources écrites. À travers ces quatre types de données, le chercheur de terrain tente de construire tant bien que mal une « rigueur du qualitatif » qui navigue autour de quelques principes simples : la triangulation et la recherche empirique de groupes stratégiques, l’itération, l’explication interprétative, la construction de « descripteurs », la saturation de l’information, le groupe social témoin et enfin la gestion des biais subjectifs.","author":[{"dropping-particle":"","family":"Olivier de Sardan","given":"Jean-Pierre","non-dropping-particle":"","parse-names":false,"suffix":""}],"container-title":"Enquête","id":"ITEM-2","issue":"1","issued":{"date-parts":[["1995","3","3"]]},"language":"fr","page":"71-109","title":"La politique du terrain","type":"article-journal"},"uris":["http://www.mendeley.com/documents/?uuid=7b08e40c-bc2c-4c41-9cd8-018417900580"]}],"mendeley":{"formattedCitation":"(Beaud and Weber 2010; Olivier de Sardan 1995)","manualFormatting":"(Beaud and Weber 2010 ; Olivier de Sardan 1995)","plainTextFormattedCitation":"(Beaud and Weber 2010; Olivier de Sardan 1995)","previouslyFormattedCitation":"(Beaud and Weber 2010; Olivier de Sardan 1995)"},"properties":{"noteIndex":0},"schema":"https://github.com/citation-style-language/schema/raw/master/csl-citation.json"}</w:instrText>
      </w:r>
      <w:r w:rsidR="00715E11">
        <w:fldChar w:fldCharType="separate"/>
      </w:r>
      <w:r w:rsidR="00715E11" w:rsidRPr="00715E11">
        <w:rPr>
          <w:noProof/>
        </w:rPr>
        <w:t>(Beaud and Weber 2010</w:t>
      </w:r>
      <w:r w:rsidR="00715E11">
        <w:rPr>
          <w:noProof/>
        </w:rPr>
        <w:t xml:space="preserve"> </w:t>
      </w:r>
      <w:r w:rsidR="00715E11" w:rsidRPr="00715E11">
        <w:rPr>
          <w:noProof/>
        </w:rPr>
        <w:t>; Olivier de Sardan 1995)</w:t>
      </w:r>
      <w:r w:rsidR="00715E11">
        <w:fldChar w:fldCharType="end"/>
      </w:r>
      <w:r w:rsidR="00715E11">
        <w:t>.</w:t>
      </w:r>
      <w:r>
        <w:t xml:space="preserve"> Ces entretiens sont longs (entre une heure et trois heures), approfondis, et entièrement enregistrés et retranscrits. Ils permettent une analyse fine des positions des acteurs et de leurs représentations, des systèmes d’alliance </w:t>
      </w:r>
      <w:r w:rsidR="00715E11">
        <w:t>ou d’opposition (Beaud et Weber</w:t>
      </w:r>
      <w:r>
        <w:t xml:space="preserve"> 2010).</w:t>
      </w:r>
    </w:p>
    <w:p w:rsidR="00F73FBD" w:rsidRDefault="00433DF5" w:rsidP="00433DF5">
      <w:pPr>
        <w:pStyle w:val="Titre1"/>
      </w:pPr>
      <w:r>
        <w:t xml:space="preserve">Evolution des dispositifs </w:t>
      </w:r>
      <w:r w:rsidR="00304753">
        <w:t>d’économies et reallocations d’eau</w:t>
      </w:r>
      <w:r w:rsidR="00531CBC">
        <w:t xml:space="preserve"> : </w:t>
      </w:r>
      <w:r>
        <w:t xml:space="preserve">de nouveaux agencements </w:t>
      </w:r>
      <w:r w:rsidR="008E7C55">
        <w:t xml:space="preserve">Reglementaires, </w:t>
      </w:r>
      <w:r>
        <w:t>cognitifs</w:t>
      </w:r>
      <w:r w:rsidR="008E7C55">
        <w:t xml:space="preserve"> et</w:t>
      </w:r>
      <w:r>
        <w:t xml:space="preserve"> materiels</w:t>
      </w:r>
    </w:p>
    <w:p w:rsidR="00A30025" w:rsidRDefault="005F4743" w:rsidP="00A30025">
      <w:pPr>
        <w:pStyle w:val="Titre2"/>
        <w:widowControl/>
        <w:spacing w:before="240" w:line="276" w:lineRule="auto"/>
        <w:ind w:left="576"/>
        <w:jc w:val="left"/>
      </w:pPr>
      <w:r>
        <w:t>Des années 197</w:t>
      </w:r>
      <w:r w:rsidR="00A30025" w:rsidRPr="00F92054">
        <w:t>0 aux années 2000 : des économies d’eau pour moderniser l’agriculture et produire de l’énergie</w:t>
      </w:r>
    </w:p>
    <w:p w:rsidR="00A30025" w:rsidRDefault="00A30025" w:rsidP="0062168B">
      <w:pPr>
        <w:jc w:val="both"/>
        <w:rPr>
          <w:lang w:eastAsia="fr-FR"/>
        </w:rPr>
      </w:pPr>
      <w:r>
        <w:rPr>
          <w:lang w:eastAsia="fr-FR"/>
        </w:rPr>
        <w:t xml:space="preserve">Dès les années 1970, le ministère </w:t>
      </w:r>
      <w:r w:rsidR="003B1525">
        <w:rPr>
          <w:lang w:eastAsia="fr-FR"/>
        </w:rPr>
        <w:t>de l’A</w:t>
      </w:r>
      <w:r>
        <w:rPr>
          <w:lang w:eastAsia="fr-FR"/>
        </w:rPr>
        <w:t>griculture, l’agence de bassin et la Société du Canal de Provence vont encourager les économies d’eau (Cap</w:t>
      </w:r>
      <w:r w:rsidR="00715E11">
        <w:rPr>
          <w:lang w:eastAsia="fr-FR"/>
        </w:rPr>
        <w:t>oduro 1983, p. 351 in : Gaudin</w:t>
      </w:r>
      <w:r>
        <w:rPr>
          <w:lang w:eastAsia="fr-FR"/>
        </w:rPr>
        <w:t xml:space="preserve"> 2014, p. 124). </w:t>
      </w:r>
    </w:p>
    <w:p w:rsidR="00A24CAA" w:rsidRDefault="00A30025" w:rsidP="00A30025">
      <w:pPr>
        <w:jc w:val="both"/>
        <w:rPr>
          <w:lang w:eastAsia="fr-FR"/>
        </w:rPr>
      </w:pPr>
      <w:r>
        <w:rPr>
          <w:lang w:eastAsia="fr-FR"/>
        </w:rPr>
        <w:t>En 1968, les premières études relatives à la modernisation des ouvrages de Basse-Durance sont entreprises. Elles sont menées par les services du ministère de l’Agriculture et financées par l’agence de bassin Rh</w:t>
      </w:r>
      <w:r w:rsidR="00715E11">
        <w:rPr>
          <w:lang w:eastAsia="fr-FR"/>
        </w:rPr>
        <w:t>ône-Méditerranée et Corse (Jean</w:t>
      </w:r>
      <w:r>
        <w:rPr>
          <w:lang w:eastAsia="fr-FR"/>
        </w:rPr>
        <w:t xml:space="preserve"> 1975). A cette époque, l’objectif premier est </w:t>
      </w:r>
      <w:r w:rsidRPr="00C31020">
        <w:rPr>
          <w:i/>
          <w:lang w:eastAsia="fr-FR"/>
        </w:rPr>
        <w:t>« l’intérêt pour l’agriculture d’améliorer en permanence ses grandes infrastructures pour conserver et accroître son potentiel de production »</w:t>
      </w:r>
      <w:r>
        <w:rPr>
          <w:lang w:eastAsia="fr-FR"/>
        </w:rPr>
        <w:t xml:space="preserve"> </w:t>
      </w:r>
      <w:r w:rsidR="008565B1">
        <w:rPr>
          <w:lang w:eastAsia="fr-FR"/>
        </w:rPr>
        <w:fldChar w:fldCharType="begin" w:fldLock="1"/>
      </w:r>
      <w:r w:rsidR="00D938A4">
        <w:rPr>
          <w:lang w:eastAsia="fr-FR"/>
        </w:rPr>
        <w:instrText>ADDIN CSL_CITATION {"citationItems":[{"id":"ITEM-1","itemData":{"author":[{"dropping-particle":"","family":"Jean","given":"A.-M.","non-dropping-particle":"","parse-names":false,"suffix":""}],"id":"ITEM-1","issued":{"date-parts":[["1975"]]},"number-of-pages":"15","title":"Les études de modernisation des irrigations de la Basse Durance","type":"report"},"uris":["http://www.mendeley.com/documents/?uuid=c624424c-0005-4e65-bfb3-08b64cdf8f3b"]}],"mendeley":{"formattedCitation":"(Jean 1975)","manualFormatting":"(Jean 1975, p. 15)","plainTextFormattedCitation":"(Jean 1975)","previouslyFormattedCitation":"(Jean 1975)"},"properties":{"noteIndex":0},"schema":"https://github.com/citation-style-language/schema/raw/master/csl-citation.json"}</w:instrText>
      </w:r>
      <w:r w:rsidR="008565B1">
        <w:rPr>
          <w:lang w:eastAsia="fr-FR"/>
        </w:rPr>
        <w:fldChar w:fldCharType="separate"/>
      </w:r>
      <w:r w:rsidR="008565B1" w:rsidRPr="008565B1">
        <w:rPr>
          <w:noProof/>
          <w:lang w:eastAsia="fr-FR"/>
        </w:rPr>
        <w:t>(Jean 1975</w:t>
      </w:r>
      <w:r w:rsidR="008565B1">
        <w:rPr>
          <w:noProof/>
          <w:lang w:eastAsia="fr-FR"/>
        </w:rPr>
        <w:t>, p. 15</w:t>
      </w:r>
      <w:r w:rsidR="008565B1" w:rsidRPr="008565B1">
        <w:rPr>
          <w:noProof/>
          <w:lang w:eastAsia="fr-FR"/>
        </w:rPr>
        <w:t>)</w:t>
      </w:r>
      <w:r w:rsidR="008565B1">
        <w:rPr>
          <w:lang w:eastAsia="fr-FR"/>
        </w:rPr>
        <w:fldChar w:fldCharType="end"/>
      </w:r>
      <w:r w:rsidR="008565B1">
        <w:rPr>
          <w:lang w:eastAsia="fr-FR"/>
        </w:rPr>
        <w:t>.</w:t>
      </w:r>
      <w:r>
        <w:rPr>
          <w:lang w:eastAsia="fr-FR"/>
        </w:rPr>
        <w:t xml:space="preserve"> Les économies sont censées répondre à l’enjeu de rentabilité de la modernisation des ouvrages (cuvelage des </w:t>
      </w:r>
      <w:r>
        <w:rPr>
          <w:lang w:eastAsia="fr-FR"/>
        </w:rPr>
        <w:lastRenderedPageBreak/>
        <w:t xml:space="preserve">canaux, ouvrages de régulation, mise sous pression) en permettant de nouvelles extensions agricoles. Il est également fait mention d’EDF comme un financeur possible des aménagements, étant donné qu’on pouvait </w:t>
      </w:r>
      <w:r w:rsidRPr="00C31020">
        <w:rPr>
          <w:i/>
          <w:lang w:eastAsia="fr-FR"/>
        </w:rPr>
        <w:t>« espérer produire plusieurs dizaines de million de kW/heure, par la seule modernisation des canaux de Basse-Durance »</w:t>
      </w:r>
      <w:r w:rsidR="00715E11">
        <w:rPr>
          <w:lang w:eastAsia="fr-FR"/>
        </w:rPr>
        <w:t xml:space="preserve"> (Jean</w:t>
      </w:r>
      <w:r>
        <w:rPr>
          <w:lang w:eastAsia="fr-FR"/>
        </w:rPr>
        <w:t xml:space="preserve"> 1975, p. 15). </w:t>
      </w:r>
    </w:p>
    <w:p w:rsidR="005F4743" w:rsidRDefault="008E7C55" w:rsidP="00A30025">
      <w:pPr>
        <w:jc w:val="both"/>
      </w:pPr>
      <w:r>
        <w:rPr>
          <w:lang w:eastAsia="fr-FR"/>
        </w:rPr>
        <w:t xml:space="preserve">Durant cette première phase, les questions </w:t>
      </w:r>
      <w:r w:rsidR="00A14BD3">
        <w:rPr>
          <w:lang w:eastAsia="fr-FR"/>
        </w:rPr>
        <w:t xml:space="preserve">d’économies d’eau et de gestion des milieux naturels apparaissent dissociées. </w:t>
      </w:r>
      <w:r w:rsidR="00A14BD3" w:rsidRPr="00F92054">
        <w:t>Ce n’est qu’à partir des années 2000, avec la mise en œuvre de la Directive Cadre sur l’Eau (2000) et la montée en puissance d’une politique de « résorption des déséquilibres quantitatifs »</w:t>
      </w:r>
      <w:r w:rsidR="009A3C6E">
        <w:t xml:space="preserve"> </w:t>
      </w:r>
      <w:r w:rsidR="00A14BD3" w:rsidRPr="00F92054">
        <w:t>(orientation fondamentale du SDAGE numéro 7 ; SDAGE</w:t>
      </w:r>
      <w:r w:rsidR="00A14BD3">
        <w:t xml:space="preserve"> 2010-2015</w:t>
      </w:r>
      <w:r w:rsidR="00A14BD3" w:rsidRPr="00F92054">
        <w:t xml:space="preserve">), que ces deux sujets vont être rapprochés. Ce nouveau discours </w:t>
      </w:r>
      <w:r w:rsidR="00032361">
        <w:t>contribuera</w:t>
      </w:r>
      <w:r w:rsidR="00A14BD3" w:rsidRPr="00F92054">
        <w:t xml:space="preserve"> à re-justifier la politique d’économies d’eau débutée à la fin des années 1970.</w:t>
      </w:r>
    </w:p>
    <w:p w:rsidR="00A30025" w:rsidRPr="00F92054" w:rsidRDefault="00A30025" w:rsidP="00A30025">
      <w:pPr>
        <w:pStyle w:val="Titre2"/>
        <w:widowControl/>
        <w:spacing w:before="240" w:line="276" w:lineRule="auto"/>
        <w:ind w:left="576"/>
        <w:jc w:val="left"/>
      </w:pPr>
      <w:r>
        <w:t xml:space="preserve">Années </w:t>
      </w:r>
      <w:r w:rsidRPr="00F92054">
        <w:t>2000 – période actuelle : poursuivre les économies pour les réallouer vers les milieux naturels</w:t>
      </w:r>
    </w:p>
    <w:p w:rsidR="00AA74EF" w:rsidRDefault="00AA74EF" w:rsidP="00AA74EF">
      <w:pPr>
        <w:jc w:val="both"/>
        <w:rPr>
          <w:lang w:eastAsia="fr-FR"/>
        </w:rPr>
      </w:pPr>
      <w:r>
        <w:rPr>
          <w:lang w:eastAsia="fr-FR"/>
        </w:rPr>
        <w:t xml:space="preserve">A partir des années 2000, les services de l’Etat tentent de réinvestir la question des économies réalisées et de leur devenir. </w:t>
      </w:r>
      <w:r w:rsidR="00D01111">
        <w:rPr>
          <w:lang w:eastAsia="fr-FR"/>
        </w:rPr>
        <w:t>Le manque d’effets bénéfiques pour les milieux naturels est indiqué d</w:t>
      </w:r>
      <w:r>
        <w:rPr>
          <w:lang w:eastAsia="fr-FR"/>
        </w:rPr>
        <w:t>ans le rapport de la mission interministériel</w:t>
      </w:r>
      <w:r w:rsidR="00D01111">
        <w:rPr>
          <w:lang w:eastAsia="fr-FR"/>
        </w:rPr>
        <w:t>le de 2002, dit rapport Balland :</w:t>
      </w:r>
    </w:p>
    <w:p w:rsidR="00A30025" w:rsidRDefault="00AA74EF" w:rsidP="00AA74EF">
      <w:pPr>
        <w:jc w:val="both"/>
        <w:rPr>
          <w:lang w:eastAsia="fr-FR"/>
        </w:rPr>
      </w:pPr>
      <w:r w:rsidRPr="00AA74EF">
        <w:rPr>
          <w:i/>
          <w:lang w:eastAsia="fr-FR"/>
        </w:rPr>
        <w:t>«</w:t>
      </w:r>
      <w:r w:rsidR="00065AC0">
        <w:rPr>
          <w:i/>
          <w:lang w:eastAsia="fr-FR"/>
        </w:rPr>
        <w:t xml:space="preserve"> </w:t>
      </w:r>
      <w:r w:rsidRPr="00AA74EF">
        <w:rPr>
          <w:i/>
          <w:lang w:eastAsia="fr-FR"/>
        </w:rPr>
        <w:t>La mission constate que la réglementation actuelle ne conduit qu'à valoriser énergétiquement les économies d'eau des irrigants. Ces économies ne contribuent pas à renforcer le débit dans la Durance. On peut s'interroger sur une répartition différente de ces économies »</w:t>
      </w:r>
      <w:r>
        <w:rPr>
          <w:lang w:eastAsia="fr-FR"/>
        </w:rPr>
        <w:t xml:space="preserve"> </w:t>
      </w:r>
      <w:r w:rsidR="006D5786">
        <w:rPr>
          <w:lang w:eastAsia="fr-FR"/>
        </w:rPr>
        <w:fldChar w:fldCharType="begin" w:fldLock="1"/>
      </w:r>
      <w:r w:rsidR="006D5786">
        <w:rPr>
          <w:lang w:eastAsia="fr-FR"/>
        </w:rPr>
        <w:instrText>ADDIN CSL_CITATION {"citationItems":[{"id":"ITEM-1","itemData":{"author":[{"dropping-particle":"","family":"Balland","given":"Pierre","non-dropping-particle":"","parse-names":false,"suffix":""},{"dropping-particle":"","family":"Huet","given":"Philippe","non-dropping-particle":"","parse-names":false,"suffix":""},{"dropping-particle":"","family":"Lafont","given":"Eric","non-dropping-particle":"","parse-names":false,"suffix":""},{"dropping-particle":"","family":"Leteurtrois","given":"Jean-Pierre","non-dropping-particle":"","parse-names":false,"suffix":""},{"dropping-particle":"","family":"Pierron","given":"Paul","non-dropping-particle":"","parse-names":false,"suffix":""}],"id":"ITEM-1","issued":{"date-parts":[["2002"]]},"title":"Rapport sur la Durance. Propositions de simplification et de modernisation du dispositif d'intervention de l'Etat sur la gestion des eaux et du lit de la Durance. Contribution à un Plan Durance","type":"article-journal"},"uris":["http://www.mendeley.com/documents/?uuid=3d0e7015-9647-4578-bb48-a51141070f7e"]}],"mendeley":{"formattedCitation":"(Balland et al. 2002)","manualFormatting":"(Balland et al. 2002, p. 40)","plainTextFormattedCitation":"(Balland et al. 2002)","previouslyFormattedCitation":"(Balland et al. 2002)"},"properties":{"noteIndex":0},"schema":"https://github.com/citation-style-language/schema/raw/master/csl-citation.json"}</w:instrText>
      </w:r>
      <w:r w:rsidR="006D5786">
        <w:rPr>
          <w:lang w:eastAsia="fr-FR"/>
        </w:rPr>
        <w:fldChar w:fldCharType="separate"/>
      </w:r>
      <w:r w:rsidR="006D5786" w:rsidRPr="006D5786">
        <w:rPr>
          <w:noProof/>
          <w:lang w:eastAsia="fr-FR"/>
        </w:rPr>
        <w:t>(Balland et al. 2002</w:t>
      </w:r>
      <w:r w:rsidR="006D5786">
        <w:rPr>
          <w:noProof/>
          <w:lang w:eastAsia="fr-FR"/>
        </w:rPr>
        <w:t>, p. 40</w:t>
      </w:r>
      <w:r w:rsidR="006D5786" w:rsidRPr="006D5786">
        <w:rPr>
          <w:noProof/>
          <w:lang w:eastAsia="fr-FR"/>
        </w:rPr>
        <w:t>)</w:t>
      </w:r>
      <w:r w:rsidR="006D5786">
        <w:rPr>
          <w:lang w:eastAsia="fr-FR"/>
        </w:rPr>
        <w:fldChar w:fldCharType="end"/>
      </w:r>
      <w:r w:rsidR="006D5786">
        <w:rPr>
          <w:lang w:eastAsia="fr-FR"/>
        </w:rPr>
        <w:t>.</w:t>
      </w:r>
    </w:p>
    <w:p w:rsidR="009E2287" w:rsidRDefault="009E2287" w:rsidP="00AA74EF">
      <w:pPr>
        <w:jc w:val="both"/>
        <w:rPr>
          <w:lang w:eastAsia="fr-FR"/>
        </w:rPr>
      </w:pPr>
      <w:r>
        <w:rPr>
          <w:lang w:eastAsia="fr-FR"/>
        </w:rPr>
        <w:t xml:space="preserve">La volonté de réorienter les économies d’eau vers les milieux naturels prendra forme au sein de </w:t>
      </w:r>
      <w:r w:rsidR="00B7569A">
        <w:rPr>
          <w:lang w:eastAsia="fr-FR"/>
        </w:rPr>
        <w:t>trois</w:t>
      </w:r>
      <w:r>
        <w:rPr>
          <w:lang w:eastAsia="fr-FR"/>
        </w:rPr>
        <w:t xml:space="preserve"> dispositifs </w:t>
      </w:r>
      <w:r w:rsidR="005F4743">
        <w:rPr>
          <w:lang w:eastAsia="fr-FR"/>
        </w:rPr>
        <w:t>de gestion : les contrats de canaux,</w:t>
      </w:r>
      <w:r>
        <w:rPr>
          <w:lang w:eastAsia="fr-FR"/>
        </w:rPr>
        <w:t xml:space="preserve"> les Plans de Gestion de la Ressource en Eau (PGRE)</w:t>
      </w:r>
      <w:r w:rsidR="005F4743">
        <w:rPr>
          <w:lang w:eastAsia="fr-FR"/>
        </w:rPr>
        <w:t xml:space="preserve"> et le Compte Epargne Volume (CEV) permettant de stocker les volumes économisés avant de les réallouer vers les milieux</w:t>
      </w:r>
      <w:r>
        <w:rPr>
          <w:lang w:eastAsia="fr-FR"/>
        </w:rPr>
        <w:t>.</w:t>
      </w:r>
      <w:r w:rsidR="00D15730">
        <w:rPr>
          <w:lang w:eastAsia="fr-FR"/>
        </w:rPr>
        <w:t xml:space="preserve"> </w:t>
      </w:r>
      <w:r w:rsidR="00B7569A">
        <w:rPr>
          <w:lang w:eastAsia="fr-FR"/>
        </w:rPr>
        <w:t xml:space="preserve"> </w:t>
      </w:r>
      <w:r w:rsidR="00D15730">
        <w:rPr>
          <w:lang w:eastAsia="fr-FR"/>
        </w:rPr>
        <w:t>Chaque fois, ces dispositifs constituent de nouvelles problématisations de la situation et embarquent des élé</w:t>
      </w:r>
      <w:r w:rsidR="00B944BB">
        <w:rPr>
          <w:lang w:eastAsia="fr-FR"/>
        </w:rPr>
        <w:t>ments réglementaires (</w:t>
      </w:r>
      <w:r w:rsidR="00876C4E">
        <w:rPr>
          <w:lang w:eastAsia="fr-FR"/>
        </w:rPr>
        <w:t>lois sur l’eau</w:t>
      </w:r>
      <w:r w:rsidR="00C40E3F">
        <w:rPr>
          <w:lang w:eastAsia="fr-FR"/>
        </w:rPr>
        <w:t xml:space="preserve">), cognitifs (liens de causalité entre les pratiques agricoles et les milieux naturels, représentations du bon </w:t>
      </w:r>
      <w:r w:rsidR="00876C4E">
        <w:rPr>
          <w:lang w:eastAsia="fr-FR"/>
        </w:rPr>
        <w:t>état</w:t>
      </w:r>
      <w:r w:rsidR="00C40E3F">
        <w:rPr>
          <w:lang w:eastAsia="fr-FR"/>
        </w:rPr>
        <w:t>) et matériels (flux d’argent,</w:t>
      </w:r>
      <w:r w:rsidR="00B7569A">
        <w:rPr>
          <w:lang w:eastAsia="fr-FR"/>
        </w:rPr>
        <w:t xml:space="preserve"> ouvrages de gestion de l’eau).</w:t>
      </w:r>
    </w:p>
    <w:p w:rsidR="00B7569A" w:rsidRDefault="001326B3" w:rsidP="00AA74EF">
      <w:pPr>
        <w:jc w:val="both"/>
        <w:rPr>
          <w:lang w:eastAsia="fr-FR"/>
        </w:rPr>
      </w:pPr>
      <w:r>
        <w:rPr>
          <w:lang w:eastAsia="fr-FR"/>
        </w:rPr>
        <w:t>A partir des cas du contrat de canal de Carpentras (modernisation du secteur de Monteux ;</w:t>
      </w:r>
      <w:r>
        <w:rPr>
          <w:lang w:eastAsia="fr-FR"/>
        </w:rPr>
        <w:fldChar w:fldCharType="begin" w:fldLock="1"/>
      </w:r>
      <w:r>
        <w:rPr>
          <w:lang w:eastAsia="fr-FR"/>
        </w:rPr>
        <w:instrText>ADDIN CSL_CITATION {"citationItems":[{"id":"ITEM-1","itemData":{"author":[{"dropping-particle":"","family":"Asa du Canal de Carpentras","given":"","non-dropping-particle":"","parse-names":false,"suffix":""}],"id":"ITEM-1","issued":{"date-parts":[["2010"]]},"number-of-pages":"209","title":"Contrat de Canal de Carpentras. Programme d'Opérations","type":"report"},"uris":["http://www.mendeley.com/documents/?uuid=0682eed6-2893-4577-a5b7-b0791f3f02ef"]}],"mendeley":{"formattedCitation":"(Asa du Canal de Carpentras 2010)","manualFormatting":"(Asa du Canal de Carpentras 2010, pp. 55-59)","plainTextFormattedCitation":"(Asa du Canal de Carpentras 2010)","previouslyFormattedCitation":"(Asa du Canal de Carpentras 2010)"},"properties":{"noteIndex":0},"schema":"https://github.com/citation-style-language/schema/raw/master/csl-citation.json"}</w:instrText>
      </w:r>
      <w:r>
        <w:rPr>
          <w:lang w:eastAsia="fr-FR"/>
        </w:rPr>
        <w:fldChar w:fldCharType="separate"/>
      </w:r>
      <w:r>
        <w:rPr>
          <w:noProof/>
          <w:lang w:eastAsia="fr-FR"/>
        </w:rPr>
        <w:t xml:space="preserve"> Asa du Canal de Carpentras, </w:t>
      </w:r>
      <w:r w:rsidRPr="0045450B">
        <w:rPr>
          <w:noProof/>
          <w:lang w:eastAsia="fr-FR"/>
        </w:rPr>
        <w:t>2010</w:t>
      </w:r>
      <w:r>
        <w:rPr>
          <w:noProof/>
          <w:lang w:eastAsia="fr-FR"/>
        </w:rPr>
        <w:t>, pp. 55-59</w:t>
      </w:r>
      <w:r w:rsidRPr="0045450B">
        <w:rPr>
          <w:noProof/>
          <w:lang w:eastAsia="fr-FR"/>
        </w:rPr>
        <w:t>)</w:t>
      </w:r>
      <w:r>
        <w:rPr>
          <w:lang w:eastAsia="fr-FR"/>
        </w:rPr>
        <w:fldChar w:fldCharType="end"/>
      </w:r>
      <w:r>
        <w:rPr>
          <w:lang w:eastAsia="fr-FR"/>
        </w:rPr>
        <w:t xml:space="preserve"> et du PGRE du Sasse (substitution </w:t>
      </w:r>
      <w:r w:rsidR="00442009">
        <w:rPr>
          <w:lang w:eastAsia="fr-FR"/>
        </w:rPr>
        <w:t xml:space="preserve">d’un prélèvement dans le Sasse </w:t>
      </w:r>
      <w:r w:rsidR="00430DDA">
        <w:rPr>
          <w:lang w:eastAsia="fr-FR"/>
        </w:rPr>
        <w:t>par un prélèvement en Durance</w:t>
      </w:r>
      <w:r>
        <w:rPr>
          <w:lang w:eastAsia="fr-FR"/>
        </w:rPr>
        <w:t xml:space="preserve"> </w:t>
      </w:r>
      <w:r>
        <w:rPr>
          <w:lang w:eastAsia="fr-FR"/>
        </w:rPr>
        <w:fldChar w:fldCharType="begin" w:fldLock="1"/>
      </w:r>
      <w:r>
        <w:rPr>
          <w:lang w:eastAsia="fr-FR"/>
        </w:rPr>
        <w:instrText>ADDIN CSL_CITATION {"citationItems":[{"id":"ITEM-1","itemData":{"author":[{"dropping-particle":"","family":"Artelia","given":"","non-dropping-particle":"","parse-names":false,"suffix":""}],"id":"ITEM-1","issued":{"date-parts":[["2017"]]},"number-of-pages":"42","title":"Plan de Gestion de la Ressource en Eau. Bassin Versant : Sasse","type":"report"},"uris":["http://www.mendeley.com/documents/?uuid=655a1176-2948-463e-a963-f1ce279a191f"]}],"mendeley":{"formattedCitation":"(Artelia 2017)","plainTextFormattedCitation":"(Artelia 2017)","previouslyFormattedCitation":"(Artelia 2017)"},"properties":{"noteIndex":0},"schema":"https://github.com/citation-style-language/schema/raw/master/csl-citation.json"}</w:instrText>
      </w:r>
      <w:r>
        <w:rPr>
          <w:lang w:eastAsia="fr-FR"/>
        </w:rPr>
        <w:fldChar w:fldCharType="separate"/>
      </w:r>
      <w:r>
        <w:rPr>
          <w:noProof/>
          <w:lang w:eastAsia="fr-FR"/>
        </w:rPr>
        <w:t xml:space="preserve">; </w:t>
      </w:r>
      <w:r w:rsidRPr="00641B94">
        <w:rPr>
          <w:noProof/>
          <w:lang w:eastAsia="fr-FR"/>
        </w:rPr>
        <w:t>Artelia</w:t>
      </w:r>
      <w:r>
        <w:rPr>
          <w:noProof/>
          <w:lang w:eastAsia="fr-FR"/>
        </w:rPr>
        <w:t>,</w:t>
      </w:r>
      <w:r w:rsidRPr="00641B94">
        <w:rPr>
          <w:noProof/>
          <w:lang w:eastAsia="fr-FR"/>
        </w:rPr>
        <w:t xml:space="preserve"> 2017)</w:t>
      </w:r>
      <w:r>
        <w:rPr>
          <w:lang w:eastAsia="fr-FR"/>
        </w:rPr>
        <w:fldChar w:fldCharType="end"/>
      </w:r>
      <w:r w:rsidR="00430DDA">
        <w:rPr>
          <w:lang w:eastAsia="fr-FR"/>
        </w:rPr>
        <w:t xml:space="preserve">, </w:t>
      </w:r>
      <w:r w:rsidR="009C0BB9">
        <w:rPr>
          <w:lang w:eastAsia="fr-FR"/>
        </w:rPr>
        <w:t>nous analysero</w:t>
      </w:r>
      <w:r w:rsidR="002422D3">
        <w:rPr>
          <w:lang w:eastAsia="fr-FR"/>
        </w:rPr>
        <w:t>ns comment ces nouveaux dispositifs s’hybrident avec des logiques antérieures de réalisation d’économie</w:t>
      </w:r>
      <w:r w:rsidR="009A6AC9">
        <w:rPr>
          <w:lang w:eastAsia="fr-FR"/>
        </w:rPr>
        <w:t>s</w:t>
      </w:r>
      <w:r w:rsidR="002422D3">
        <w:rPr>
          <w:lang w:eastAsia="fr-FR"/>
        </w:rPr>
        <w:t xml:space="preserve"> d’ea</w:t>
      </w:r>
      <w:r w:rsidR="003846D9">
        <w:rPr>
          <w:lang w:eastAsia="fr-FR"/>
        </w:rPr>
        <w:t>u. Les impacts de ces projets sur l’environnement et les usages concernés s</w:t>
      </w:r>
      <w:r w:rsidR="009C0BB9">
        <w:rPr>
          <w:lang w:eastAsia="fr-FR"/>
        </w:rPr>
        <w:t>er</w:t>
      </w:r>
      <w:r w:rsidR="003846D9">
        <w:rPr>
          <w:lang w:eastAsia="fr-FR"/>
        </w:rPr>
        <w:t>ont également discutés.</w:t>
      </w:r>
    </w:p>
    <w:p w:rsidR="00304753" w:rsidRDefault="00304753" w:rsidP="00304753">
      <w:pPr>
        <w:pStyle w:val="Titre1"/>
      </w:pPr>
      <w:r>
        <w:t xml:space="preserve">les </w:t>
      </w:r>
      <w:r w:rsidR="008276BC">
        <w:t>Cas du contrat de canal de Carpentras et du pgre du sasse</w:t>
      </w:r>
    </w:p>
    <w:p w:rsidR="00C916A0" w:rsidRDefault="00C916A0" w:rsidP="0045450B">
      <w:pPr>
        <w:pStyle w:val="Titre2"/>
      </w:pPr>
      <w:r>
        <w:t xml:space="preserve">Hybridation entre nouveaux impératifs réglementaires et </w:t>
      </w:r>
      <w:r>
        <w:lastRenderedPageBreak/>
        <w:t>logiques antérieures</w:t>
      </w:r>
    </w:p>
    <w:p w:rsidR="0062168B" w:rsidRDefault="0057672A" w:rsidP="00AE0716">
      <w:pPr>
        <w:jc w:val="both"/>
        <w:rPr>
          <w:lang w:eastAsia="fr-FR"/>
        </w:rPr>
      </w:pPr>
      <w:r>
        <w:rPr>
          <w:lang w:eastAsia="fr-FR"/>
        </w:rPr>
        <w:t>Plutôt qu’une rupture avec les logiques passées de production d’économie d’eau, ces dispositifs participent à leur réactivation</w:t>
      </w:r>
      <w:r w:rsidR="00F25B3D">
        <w:rPr>
          <w:lang w:eastAsia="fr-FR"/>
        </w:rPr>
        <w:t xml:space="preserve"> et leur remaniement au vu des nouveaux impératifs réglementaires</w:t>
      </w:r>
      <w:r w:rsidR="00F1779B">
        <w:rPr>
          <w:lang w:eastAsia="fr-FR"/>
        </w:rPr>
        <w:t xml:space="preserve"> et des préoccupations environnementales</w:t>
      </w:r>
      <w:r w:rsidR="00F25B3D">
        <w:rPr>
          <w:lang w:eastAsia="fr-FR"/>
        </w:rPr>
        <w:t>.</w:t>
      </w:r>
      <w:r w:rsidR="00056892">
        <w:rPr>
          <w:lang w:eastAsia="fr-FR"/>
        </w:rPr>
        <w:t xml:space="preserve"> </w:t>
      </w:r>
      <w:r w:rsidR="005F561B">
        <w:rPr>
          <w:lang w:eastAsia="fr-FR"/>
        </w:rPr>
        <w:t>D’une part, l</w:t>
      </w:r>
      <w:r w:rsidR="00056892">
        <w:rPr>
          <w:lang w:eastAsia="fr-FR"/>
        </w:rPr>
        <w:t xml:space="preserve">es contours des dispositifs sont constamment réajustés afin d’intéresser les bénéficiaires </w:t>
      </w:r>
      <w:r w:rsidR="005F561B">
        <w:rPr>
          <w:lang w:eastAsia="fr-FR"/>
        </w:rPr>
        <w:t xml:space="preserve">à y participer, et d’autre part les projets eux-mêmes sont modifiés afin de répondre aux exigences des dispositifs. </w:t>
      </w:r>
    </w:p>
    <w:p w:rsidR="00AE0716" w:rsidRDefault="0062168B" w:rsidP="00AE0716">
      <w:pPr>
        <w:autoSpaceDE w:val="0"/>
        <w:autoSpaceDN w:val="0"/>
        <w:adjustRightInd w:val="0"/>
        <w:spacing w:after="0"/>
        <w:jc w:val="both"/>
        <w:rPr>
          <w:rFonts w:cs="TimesNewRomanPSMT"/>
        </w:rPr>
      </w:pPr>
      <w:r w:rsidRPr="00072007">
        <w:rPr>
          <w:lang w:eastAsia="fr-FR"/>
        </w:rPr>
        <w:t xml:space="preserve">Les PGRE visent </w:t>
      </w:r>
      <w:r w:rsidRPr="00072007">
        <w:rPr>
          <w:rFonts w:cs="TimesNewRomanPSMT"/>
        </w:rPr>
        <w:t xml:space="preserve">à </w:t>
      </w:r>
      <w:r w:rsidRPr="00E15631">
        <w:rPr>
          <w:rFonts w:cs="TimesNewRomanPSMT"/>
          <w:i/>
        </w:rPr>
        <w:t>« organiser le partage de l’eau et à mettre en œuvre les actions afin de rétablir l’équilibre quantitatif des cours d’eau et des nappes</w:t>
      </w:r>
      <w:r w:rsidR="00F20235">
        <w:rPr>
          <w:rFonts w:cs="TimesNewRomanPSMT"/>
          <w:i/>
        </w:rPr>
        <w:t>.</w:t>
      </w:r>
      <w:r w:rsidRPr="00E15631">
        <w:rPr>
          <w:rFonts w:cs="TimesNewRomanPSMT"/>
          <w:i/>
        </w:rPr>
        <w:t xml:space="preserve"> </w:t>
      </w:r>
      <w:r w:rsidR="00E15631" w:rsidRPr="00E15631">
        <w:rPr>
          <w:rFonts w:cs="TimesNewRomanPSMT"/>
          <w:i/>
        </w:rPr>
        <w:t>Pour ce faire, les efforts d’économie d’eau sont à mener en priorité pour tout type d'usages. S’ils ne sont pas suffisants à l’atteinte de l’objectif</w:t>
      </w:r>
      <w:r w:rsidR="00E15631">
        <w:rPr>
          <w:rFonts w:cs="TimesNewRomanPSMT"/>
          <w:i/>
        </w:rPr>
        <w:t>,</w:t>
      </w:r>
      <w:r w:rsidR="00E15631" w:rsidRPr="00E15631">
        <w:rPr>
          <w:rFonts w:cs="TimesNewRomanPSMT"/>
          <w:i/>
        </w:rPr>
        <w:t xml:space="preserve"> des ouvrages de substitution des volumes prélevés sont envisageables par transfert ou stockage »</w:t>
      </w:r>
      <w:r w:rsidR="00E15631">
        <w:rPr>
          <w:rFonts w:cs="TimesNewRomanPSMT"/>
        </w:rPr>
        <w:t xml:space="preserve"> </w:t>
      </w:r>
      <w:r w:rsidR="00E15631" w:rsidRPr="00072007">
        <w:rPr>
          <w:rFonts w:cs="TimesNewRomanPSMT"/>
        </w:rPr>
        <w:t xml:space="preserve">(Note du </w:t>
      </w:r>
      <w:r w:rsidR="0098777D">
        <w:rPr>
          <w:rFonts w:cs="TimesNewRomanPSMT"/>
        </w:rPr>
        <w:t xml:space="preserve">secrétariat technique </w:t>
      </w:r>
      <w:r w:rsidR="00E15631" w:rsidRPr="00072007">
        <w:rPr>
          <w:rFonts w:cs="TimesNewRomanPSMT"/>
        </w:rPr>
        <w:t>SDAGE</w:t>
      </w:r>
      <w:r w:rsidR="0098777D">
        <w:rPr>
          <w:rFonts w:cs="TimesNewRomanPSMT"/>
        </w:rPr>
        <w:t xml:space="preserve"> Rhône Méditerranée</w:t>
      </w:r>
      <w:r w:rsidR="00E15631" w:rsidRPr="00072007">
        <w:rPr>
          <w:rFonts w:cs="TimesNewRomanPSMT"/>
        </w:rPr>
        <w:t>, 2019</w:t>
      </w:r>
      <w:r w:rsidR="00E15631">
        <w:rPr>
          <w:rFonts w:cs="TimesNewRomanPSMT"/>
        </w:rPr>
        <w:t>, p. 6</w:t>
      </w:r>
      <w:r w:rsidR="00E15631" w:rsidRPr="00072007">
        <w:rPr>
          <w:rFonts w:cs="TimesNewRomanPSMT"/>
        </w:rPr>
        <w:t>).</w:t>
      </w:r>
    </w:p>
    <w:p w:rsidR="000A1390" w:rsidRDefault="00E15631" w:rsidP="0098777D">
      <w:pPr>
        <w:autoSpaceDE w:val="0"/>
        <w:autoSpaceDN w:val="0"/>
        <w:adjustRightInd w:val="0"/>
        <w:spacing w:before="240" w:after="0"/>
        <w:jc w:val="both"/>
        <w:rPr>
          <w:lang w:eastAsia="fr-FR"/>
        </w:rPr>
      </w:pPr>
      <w:r>
        <w:rPr>
          <w:rFonts w:cs="TimesNewRomanPSMT"/>
        </w:rPr>
        <w:t xml:space="preserve">Le projet étudié sur le Sasse correspond à l’un des </w:t>
      </w:r>
      <w:r w:rsidR="00F20235">
        <w:rPr>
          <w:rFonts w:cs="TimesNewRomanPSMT"/>
        </w:rPr>
        <w:t>ouvrages de substitution par transfert. Il s’agit de remplacer un prélèvement dans la rivière déficitaire, alimentant le canal gravitaire de Saint-Tropez, par un pompage dans la nappe alluviale de la Durance et un nouveau réseau sous pression.</w:t>
      </w:r>
      <w:r w:rsidR="00C40C70">
        <w:rPr>
          <w:rFonts w:cs="TimesNewRomanPSMT"/>
        </w:rPr>
        <w:t xml:space="preserve"> </w:t>
      </w:r>
      <w:r w:rsidR="0098777D">
        <w:rPr>
          <w:rFonts w:cs="TimesNewRomanPSMT"/>
        </w:rPr>
        <w:t>En réalité, l</w:t>
      </w:r>
      <w:r w:rsidR="00304BBD" w:rsidRPr="00072007">
        <w:rPr>
          <w:lang w:eastAsia="fr-FR"/>
        </w:rPr>
        <w:t>a question environnementale</w:t>
      </w:r>
      <w:r w:rsidR="0098777D">
        <w:rPr>
          <w:lang w:eastAsia="fr-FR"/>
        </w:rPr>
        <w:t xml:space="preserve"> du Sasse était</w:t>
      </w:r>
      <w:r w:rsidR="00304BBD">
        <w:rPr>
          <w:lang w:eastAsia="fr-FR"/>
        </w:rPr>
        <w:t xml:space="preserve"> </w:t>
      </w:r>
      <w:r w:rsidR="004323ED">
        <w:rPr>
          <w:lang w:eastAsia="fr-FR"/>
        </w:rPr>
        <w:t>peu présente</w:t>
      </w:r>
      <w:r w:rsidR="00304BBD">
        <w:rPr>
          <w:lang w:eastAsia="fr-FR"/>
        </w:rPr>
        <w:t xml:space="preserve"> dans les premières formulations du projet de modernisation en 1994 et 2004, </w:t>
      </w:r>
      <w:r w:rsidR="0098777D">
        <w:rPr>
          <w:lang w:eastAsia="fr-FR"/>
        </w:rPr>
        <w:t>avant de devenir</w:t>
      </w:r>
      <w:r w:rsidR="00304BBD">
        <w:rPr>
          <w:lang w:eastAsia="fr-FR"/>
        </w:rPr>
        <w:t xml:space="preserve"> la raison première </w:t>
      </w:r>
      <w:r w:rsidR="004323ED">
        <w:rPr>
          <w:lang w:eastAsia="fr-FR"/>
        </w:rPr>
        <w:t>de</w:t>
      </w:r>
      <w:r w:rsidR="00304BBD">
        <w:rPr>
          <w:lang w:eastAsia="fr-FR"/>
        </w:rPr>
        <w:t xml:space="preserve"> financement dans le cadre du PGRE</w:t>
      </w:r>
      <w:r w:rsidR="004323ED">
        <w:rPr>
          <w:lang w:eastAsia="fr-FR"/>
        </w:rPr>
        <w:t xml:space="preserve"> (Gaudin, 2005 ; Artelia, 2017)</w:t>
      </w:r>
      <w:r w:rsidR="00304BBD">
        <w:rPr>
          <w:lang w:eastAsia="fr-FR"/>
        </w:rPr>
        <w:t>.</w:t>
      </w:r>
      <w:r w:rsidR="001F7F1D">
        <w:rPr>
          <w:lang w:eastAsia="fr-FR"/>
        </w:rPr>
        <w:t xml:space="preserve"> Il en découle un enchâssement complexe du projet dans un historique opposant urbains et agriculteurs, et faisant intervenir </w:t>
      </w:r>
      <w:r w:rsidR="00527B20">
        <w:rPr>
          <w:lang w:eastAsia="fr-FR"/>
        </w:rPr>
        <w:t>différentes structures d’irrigation collectives</w:t>
      </w:r>
      <w:r w:rsidR="001F7F1D">
        <w:rPr>
          <w:lang w:eastAsia="fr-FR"/>
        </w:rPr>
        <w:t xml:space="preserve"> désireuses d’étendre leur périmètre.</w:t>
      </w:r>
    </w:p>
    <w:p w:rsidR="000A1390" w:rsidRDefault="00C916A0" w:rsidP="00AE0716">
      <w:pPr>
        <w:pStyle w:val="Titre2"/>
        <w:spacing w:line="276" w:lineRule="auto"/>
      </w:pPr>
      <w:r>
        <w:t>Impacts sur l’environnement et les différents usages</w:t>
      </w:r>
    </w:p>
    <w:p w:rsidR="00BC3443" w:rsidRDefault="00C916A0" w:rsidP="00AE0716">
      <w:pPr>
        <w:jc w:val="both"/>
        <w:rPr>
          <w:lang w:eastAsia="fr-FR"/>
        </w:rPr>
      </w:pPr>
      <w:r>
        <w:rPr>
          <w:lang w:eastAsia="fr-FR"/>
        </w:rPr>
        <w:t xml:space="preserve">En même temps qu’ils véhiculent de nouvelles traductions </w:t>
      </w:r>
      <w:r>
        <w:rPr>
          <w:lang w:eastAsia="fr-FR"/>
        </w:rPr>
        <w:fldChar w:fldCharType="begin" w:fldLock="1"/>
      </w:r>
      <w:r>
        <w:rPr>
          <w:lang w:eastAsia="fr-FR"/>
        </w:rPr>
        <w:instrText>ADDIN CSL_CITATION {"citationItems":[{"id":"ITEM-1","itemData":{"DOI":"10.2307/27889913","ISBN":"00662399","ISSN":"0066-2399","PMID":"29982528","abstract":"Théorie de l'acteur-réseau (ou sociologie de la traduction) : objectif de dégager les conditions de production et de circulation des innovations techniques et des connaissances scientifiques. L'élaboration des innovations ignore les frontières organisationnelles. Conception de l'action collective appuyé sunr modèle d'analyse articulé autour des notions de \"traducteurs\", de \"réseaux\", d'\"enrôlement\", et sur le caractère central des controverses pour comprendre les découvertes et leurs usages. Cas : la réimplantation des coquilles saint jacques dans la baie de St Brieuc. M. Callon montre que le succès de ce programme dépend de la réussite d'une association inédite entre des acteurs multiples et différents : les scientifiques, les marins-pêcheurs, les pouvoirs publics et les coquilles St-Jacques. La production de nouvelles connaissances sur les coquilles saint-jacques et la performance du programme de recherche sont, en réalité, liées aux capacités de mobilisation et de coopération de toutes les catégories d'acteurs humains et non humains.","author":[{"dropping-particle":"","family":"Callon","given":"Michel","non-dropping-particle":"","parse-names":false,"suffix":""}],"container-title":"L'année sociologique","id":"ITEM-1","issued":{"date-parts":[["1986"]]},"page":"169-208","title":"Eléments pour une sociologie de la traduction. La domestication des coquilles Saint-Jacques et des marins-pêcheurs dans la baie de Saint-Brieuc","type":"article-journal","volume":"36"},"uris":["http://www.mendeley.com/documents/?uuid=bf5cfaa5-2d12-4d91-955a-7e2c00e10f7a"]}],"mendeley":{"formattedCitation":"(Callon 1986)","plainTextFormattedCitation":"(Callon 1986)","previouslyFormattedCitation":"(Callon 1986)"},"properties":{"noteIndex":0},"schema":"https://github.com/citation-style-language/schema/raw/master/csl-citation.json"}</w:instrText>
      </w:r>
      <w:r>
        <w:rPr>
          <w:lang w:eastAsia="fr-FR"/>
        </w:rPr>
        <w:fldChar w:fldCharType="separate"/>
      </w:r>
      <w:r w:rsidRPr="007817D7">
        <w:rPr>
          <w:noProof/>
          <w:lang w:eastAsia="fr-FR"/>
        </w:rPr>
        <w:t>(Callon 1986)</w:t>
      </w:r>
      <w:r>
        <w:rPr>
          <w:lang w:eastAsia="fr-FR"/>
        </w:rPr>
        <w:fldChar w:fldCharType="end"/>
      </w:r>
      <w:r>
        <w:rPr>
          <w:lang w:eastAsia="fr-FR"/>
        </w:rPr>
        <w:t xml:space="preserve"> des situations, les dispositifs de financement d’économie et de réallocation d’eau participent à une redistribution sociale et spatiale des coûts et bénéfices. </w:t>
      </w:r>
      <w:r w:rsidR="005A23F3">
        <w:rPr>
          <w:lang w:eastAsia="fr-FR"/>
        </w:rPr>
        <w:t xml:space="preserve">Nous avançons que la dimension environnementale, au cœur des dispositifs, </w:t>
      </w:r>
      <w:r w:rsidR="00AB20C0">
        <w:rPr>
          <w:lang w:eastAsia="fr-FR"/>
        </w:rPr>
        <w:t>se caractérise par de fortes incertitudes.</w:t>
      </w:r>
      <w:r w:rsidR="000F495E">
        <w:rPr>
          <w:lang w:eastAsia="fr-FR"/>
        </w:rPr>
        <w:t xml:space="preserve"> </w:t>
      </w:r>
    </w:p>
    <w:p w:rsidR="00635C6A" w:rsidRDefault="00BC3443" w:rsidP="00635C6A">
      <w:pPr>
        <w:jc w:val="both"/>
        <w:rPr>
          <w:lang w:eastAsia="fr-FR"/>
        </w:rPr>
      </w:pPr>
      <w:r>
        <w:t>D</w:t>
      </w:r>
      <w:r w:rsidR="000F495E">
        <w:t>u fait des aménagements de la rivière, la réallocation des flux d’eau est en fait extrêmement complexe, en partic</w:t>
      </w:r>
      <w:r>
        <w:t>ulier à travers la difficulté à</w:t>
      </w:r>
      <w:r w:rsidR="000F495E">
        <w:t xml:space="preserve"> gérer la variable sédimentaire. Par ailleurs, les canaux gravitaires alimentent de nombreux « milieux locaux » comme des zones humides ou de petites rivières pendant l’étiage, les économies d’eau se traduisent ainsi généralement par la destruction de certains milieux.</w:t>
      </w:r>
      <w:r w:rsidR="005A23F3">
        <w:rPr>
          <w:lang w:eastAsia="fr-FR"/>
        </w:rPr>
        <w:t xml:space="preserve"> </w:t>
      </w:r>
      <w:r>
        <w:rPr>
          <w:lang w:eastAsia="fr-FR"/>
        </w:rPr>
        <w:t xml:space="preserve">Les études permettant de caractériser les pertes et les gains </w:t>
      </w:r>
      <w:r w:rsidR="00F20235">
        <w:rPr>
          <w:lang w:eastAsia="fr-FR"/>
        </w:rPr>
        <w:t xml:space="preserve">potentiels </w:t>
      </w:r>
      <w:r>
        <w:rPr>
          <w:lang w:eastAsia="fr-FR"/>
        </w:rPr>
        <w:t>au niveau environnemental seront présentées dans les deux cas mentionnés, en relevant les incertitudes qui les caractérisent.</w:t>
      </w:r>
      <w:r w:rsidR="00F55CD0">
        <w:rPr>
          <w:lang w:eastAsia="fr-FR"/>
        </w:rPr>
        <w:t xml:space="preserve"> Ces zones d’ombre représentent des marges de manœuvre importantes pour les acteurs qui les maîtrisent.</w:t>
      </w:r>
    </w:p>
    <w:p w:rsidR="00635C6A" w:rsidRDefault="00635C6A" w:rsidP="00635C6A">
      <w:pPr>
        <w:jc w:val="both"/>
        <w:rPr>
          <w:lang w:eastAsia="fr-FR"/>
        </w:rPr>
      </w:pPr>
    </w:p>
    <w:p w:rsidR="00635C6A" w:rsidRPr="00635C6A" w:rsidRDefault="00635C6A" w:rsidP="00635C6A">
      <w:pPr>
        <w:jc w:val="both"/>
        <w:rPr>
          <w:lang w:eastAsia="fr-FR"/>
        </w:rPr>
      </w:pPr>
    </w:p>
    <w:p w:rsidR="00635C6A" w:rsidRPr="00635C6A" w:rsidRDefault="00635C6A" w:rsidP="00635C6A">
      <w:pPr>
        <w:rPr>
          <w:lang w:eastAsia="fr-FR"/>
        </w:rPr>
      </w:pPr>
    </w:p>
    <w:p w:rsidR="00446D5E" w:rsidRPr="00446D5E" w:rsidRDefault="00F73FBD" w:rsidP="00944E42">
      <w:pPr>
        <w:pStyle w:val="Titre1"/>
        <w:numPr>
          <w:ilvl w:val="0"/>
          <w:numId w:val="0"/>
        </w:numPr>
      </w:pPr>
      <w:r w:rsidRPr="00911CDB">
        <w:t>Bibliographie</w:t>
      </w:r>
    </w:p>
    <w:p w:rsidR="00BE3DC6" w:rsidRPr="00370733" w:rsidRDefault="00344818" w:rsidP="008853B9">
      <w:pPr>
        <w:widowControl w:val="0"/>
        <w:autoSpaceDE w:val="0"/>
        <w:autoSpaceDN w:val="0"/>
        <w:adjustRightInd w:val="0"/>
        <w:spacing w:line="240" w:lineRule="auto"/>
        <w:ind w:left="480" w:hanging="480"/>
        <w:jc w:val="both"/>
        <w:rPr>
          <w:rFonts w:cs="Times New Roman"/>
          <w:noProof/>
          <w:sz w:val="20"/>
          <w:szCs w:val="20"/>
        </w:rPr>
      </w:pPr>
      <w:r w:rsidRPr="00370733">
        <w:rPr>
          <w:rStyle w:val="Rfrenceintense"/>
          <w:sz w:val="20"/>
          <w:szCs w:val="20"/>
          <w:lang w:val="fr-FR"/>
        </w:rPr>
        <w:fldChar w:fldCharType="begin" w:fldLock="1"/>
      </w:r>
      <w:r w:rsidRPr="00370733">
        <w:rPr>
          <w:rStyle w:val="Rfrenceintense"/>
          <w:sz w:val="20"/>
          <w:szCs w:val="20"/>
          <w:lang w:val="fr-FR"/>
        </w:rPr>
        <w:instrText xml:space="preserve">ADDIN Mendeley Bibliography CSL_BIBLIOGRAPHY </w:instrText>
      </w:r>
      <w:r w:rsidRPr="00370733">
        <w:rPr>
          <w:rStyle w:val="Rfrenceintense"/>
          <w:sz w:val="20"/>
          <w:szCs w:val="20"/>
          <w:lang w:val="fr-FR"/>
        </w:rPr>
        <w:fldChar w:fldCharType="separate"/>
      </w:r>
      <w:r w:rsidR="00BE3DC6" w:rsidRPr="00370733">
        <w:rPr>
          <w:rFonts w:cs="Times New Roman"/>
          <w:noProof/>
          <w:sz w:val="20"/>
          <w:szCs w:val="20"/>
        </w:rPr>
        <w:t>Artelia. 2017. “Plan de Gestion de La Ressource En Eau. Bassin Versant : Sasse.”</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370733">
        <w:rPr>
          <w:rFonts w:cs="Times New Roman"/>
          <w:noProof/>
          <w:sz w:val="20"/>
          <w:szCs w:val="20"/>
        </w:rPr>
        <w:t>Asa du Canal de Carpentras. 2010. “Contrat de Canal de Carpentras. Programme d’Opérations.”</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370733">
        <w:rPr>
          <w:rFonts w:cs="Times New Roman"/>
          <w:noProof/>
          <w:sz w:val="20"/>
          <w:szCs w:val="20"/>
        </w:rPr>
        <w:t xml:space="preserve">Balland, Pierre, Philippe Huet, Eric Lafont, Jean-Pierre Leteurtrois, and Paul Pierron. 2002. “Rapport Sur La Durance. Propositions de Simplification et de Modernisation Du Dispositif d’intervention de l’Etat Sur La Gestion de La Durance. </w:t>
      </w:r>
      <w:r w:rsidR="00603713" w:rsidRPr="00370733">
        <w:rPr>
          <w:rFonts w:cs="Times New Roman"/>
          <w:noProof/>
          <w:sz w:val="20"/>
          <w:szCs w:val="20"/>
        </w:rPr>
        <w:t>226 pages.</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5F4743">
        <w:rPr>
          <w:rFonts w:cs="Times New Roman"/>
          <w:noProof/>
          <w:sz w:val="20"/>
          <w:szCs w:val="20"/>
        </w:rPr>
        <w:t xml:space="preserve">Beaud, Stéphane, and Florence Weber. </w:t>
      </w:r>
      <w:r w:rsidRPr="00370733">
        <w:rPr>
          <w:rFonts w:cs="Times New Roman"/>
          <w:noProof/>
          <w:sz w:val="20"/>
          <w:szCs w:val="20"/>
        </w:rPr>
        <w:t xml:space="preserve">2010. </w:t>
      </w:r>
      <w:r w:rsidRPr="00370733">
        <w:rPr>
          <w:rFonts w:cs="Times New Roman"/>
          <w:i/>
          <w:iCs/>
          <w:noProof/>
          <w:sz w:val="20"/>
          <w:szCs w:val="20"/>
        </w:rPr>
        <w:t>Guide de l’enquête de Terrain. Produire et Analyser Des Données Ethnographiques</w:t>
      </w:r>
      <w:r w:rsidRPr="00370733">
        <w:rPr>
          <w:rFonts w:cs="Times New Roman"/>
          <w:noProof/>
          <w:sz w:val="20"/>
          <w:szCs w:val="20"/>
        </w:rPr>
        <w:t>. La Découve.</w:t>
      </w:r>
      <w:r w:rsidR="00AE5699" w:rsidRPr="00370733">
        <w:rPr>
          <w:rFonts w:cs="Times New Roman"/>
          <w:noProof/>
          <w:sz w:val="20"/>
          <w:szCs w:val="20"/>
        </w:rPr>
        <w:t xml:space="preserve"> 331 pages.</w:t>
      </w:r>
    </w:p>
    <w:p w:rsidR="00BE3DC6"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370733">
        <w:rPr>
          <w:rFonts w:cs="Times New Roman"/>
          <w:noProof/>
          <w:sz w:val="20"/>
          <w:szCs w:val="20"/>
        </w:rPr>
        <w:t xml:space="preserve">Callon, Michel. 1986. “Eléments Pour Une Sociologie de La Traduction. La Domestication Des Coquilles Saint-Jacques et Des Marins-Pêcheurs Dans La Baie de Saint-Brieuc.” </w:t>
      </w:r>
      <w:r w:rsidRPr="00370733">
        <w:rPr>
          <w:rFonts w:cs="Times New Roman"/>
          <w:i/>
          <w:iCs/>
          <w:noProof/>
          <w:sz w:val="20"/>
          <w:szCs w:val="20"/>
        </w:rPr>
        <w:t>L’année Sociologique</w:t>
      </w:r>
      <w:r w:rsidRPr="00370733">
        <w:rPr>
          <w:rFonts w:cs="Times New Roman"/>
          <w:noProof/>
          <w:sz w:val="20"/>
          <w:szCs w:val="20"/>
        </w:rPr>
        <w:t xml:space="preserve"> 36: 169–208. </w:t>
      </w:r>
    </w:p>
    <w:p w:rsidR="008853B9" w:rsidRPr="00370733" w:rsidRDefault="008853B9" w:rsidP="008853B9">
      <w:pPr>
        <w:widowControl w:val="0"/>
        <w:autoSpaceDE w:val="0"/>
        <w:autoSpaceDN w:val="0"/>
        <w:adjustRightInd w:val="0"/>
        <w:spacing w:line="240" w:lineRule="auto"/>
        <w:ind w:left="480" w:hanging="480"/>
        <w:jc w:val="both"/>
        <w:rPr>
          <w:rFonts w:cs="Times New Roman"/>
          <w:noProof/>
          <w:sz w:val="20"/>
          <w:szCs w:val="20"/>
        </w:rPr>
      </w:pPr>
      <w:r>
        <w:rPr>
          <w:rFonts w:cs="Times New Roman"/>
          <w:noProof/>
          <w:sz w:val="20"/>
          <w:szCs w:val="20"/>
        </w:rPr>
        <w:t>Gaudin, Alexandre. 2005. "Logiques d'appropriation du territoire sur le périmètre du Canal de Saint Tropez (Sisteron). Mémoire de DEA. 151 pages.</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370733">
        <w:rPr>
          <w:rFonts w:cs="Times New Roman"/>
          <w:noProof/>
          <w:sz w:val="20"/>
          <w:szCs w:val="20"/>
        </w:rPr>
        <w:t>Gaudin, Alexandre. 2014. “Sociétés Sous Pression. Anthropologie Historique d’un Dispositif Hydraulique Intermédiaire. Le Cas Du Canal de Manosque (France).” EHESS.</w:t>
      </w:r>
      <w:r w:rsidR="00AE5699" w:rsidRPr="00370733">
        <w:rPr>
          <w:rFonts w:cs="Times New Roman"/>
          <w:noProof/>
          <w:sz w:val="20"/>
          <w:szCs w:val="20"/>
        </w:rPr>
        <w:t xml:space="preserve"> 416 pages.</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370733">
        <w:rPr>
          <w:rFonts w:cs="Times New Roman"/>
          <w:noProof/>
          <w:sz w:val="20"/>
          <w:szCs w:val="20"/>
        </w:rPr>
        <w:t>Jean, A.-M. 1975. “Les Études de Modernisation Des Irrigations de La Basse Durance.”</w:t>
      </w:r>
      <w:r w:rsidR="00AE5699" w:rsidRPr="00370733">
        <w:rPr>
          <w:rFonts w:cs="Times New Roman"/>
          <w:noProof/>
          <w:sz w:val="20"/>
          <w:szCs w:val="20"/>
        </w:rPr>
        <w:t xml:space="preserve"> 15 pages.</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370733">
        <w:rPr>
          <w:rFonts w:cs="Times New Roman"/>
          <w:noProof/>
          <w:sz w:val="20"/>
          <w:szCs w:val="20"/>
        </w:rPr>
        <w:t xml:space="preserve">Lascoumes, Pierre. 2007. “Les Instruments d’action Publique, Traceurs de Changement.” </w:t>
      </w:r>
      <w:r w:rsidRPr="00370733">
        <w:rPr>
          <w:rFonts w:cs="Times New Roman"/>
          <w:i/>
          <w:iCs/>
          <w:noProof/>
          <w:sz w:val="20"/>
          <w:szCs w:val="20"/>
        </w:rPr>
        <w:t>Politique et Sociétés:</w:t>
      </w:r>
      <w:r w:rsidRPr="00370733">
        <w:rPr>
          <w:rFonts w:cs="Times New Roman"/>
          <w:noProof/>
          <w:sz w:val="20"/>
          <w:szCs w:val="20"/>
        </w:rPr>
        <w:t xml:space="preserve"> 26 (2–3): 73. </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370733">
        <w:rPr>
          <w:rFonts w:cs="Times New Roman"/>
          <w:noProof/>
          <w:sz w:val="20"/>
          <w:szCs w:val="20"/>
        </w:rPr>
        <w:t xml:space="preserve">Lascoumes, Pierre, and Louis Simard. 2011. “L’action Publique Au Prisme de Ses Instruments.” </w:t>
      </w:r>
      <w:r w:rsidRPr="00370733">
        <w:rPr>
          <w:rFonts w:cs="Times New Roman"/>
          <w:i/>
          <w:iCs/>
          <w:noProof/>
          <w:sz w:val="20"/>
          <w:szCs w:val="20"/>
        </w:rPr>
        <w:t>Revue Française de Science Politique</w:t>
      </w:r>
      <w:r w:rsidRPr="00370733">
        <w:rPr>
          <w:rFonts w:cs="Times New Roman"/>
          <w:noProof/>
          <w:sz w:val="20"/>
          <w:szCs w:val="20"/>
        </w:rPr>
        <w:t xml:space="preserve"> 61 (1): 5. </w:t>
      </w:r>
    </w:p>
    <w:p w:rsidR="00BE3DC6" w:rsidRPr="005F4743" w:rsidRDefault="00BE3DC6" w:rsidP="008853B9">
      <w:pPr>
        <w:widowControl w:val="0"/>
        <w:autoSpaceDE w:val="0"/>
        <w:autoSpaceDN w:val="0"/>
        <w:adjustRightInd w:val="0"/>
        <w:spacing w:line="240" w:lineRule="auto"/>
        <w:ind w:left="480" w:hanging="480"/>
        <w:jc w:val="both"/>
        <w:rPr>
          <w:rFonts w:cs="Times New Roman"/>
          <w:noProof/>
          <w:sz w:val="20"/>
          <w:szCs w:val="20"/>
          <w:lang w:val="en-US"/>
        </w:rPr>
      </w:pPr>
      <w:r w:rsidRPr="005F4743">
        <w:rPr>
          <w:rFonts w:cs="Times New Roman"/>
          <w:noProof/>
          <w:sz w:val="20"/>
          <w:szCs w:val="20"/>
        </w:rPr>
        <w:t xml:space="preserve">Linton, Jamie, and Jessica Budds. </w:t>
      </w:r>
      <w:r w:rsidRPr="005F4743">
        <w:rPr>
          <w:rFonts w:cs="Times New Roman"/>
          <w:noProof/>
          <w:sz w:val="20"/>
          <w:szCs w:val="20"/>
          <w:lang w:val="en-US"/>
        </w:rPr>
        <w:t xml:space="preserve">2014. “The Hydrosocial Cycle: Defining and Mobilizing a Relational-Dialectical Approach to Water.” </w:t>
      </w:r>
      <w:r w:rsidRPr="005F4743">
        <w:rPr>
          <w:rFonts w:cs="Times New Roman"/>
          <w:i/>
          <w:iCs/>
          <w:noProof/>
          <w:sz w:val="20"/>
          <w:szCs w:val="20"/>
          <w:lang w:val="en-US"/>
        </w:rPr>
        <w:t>Geoforum</w:t>
      </w:r>
      <w:r w:rsidRPr="005F4743">
        <w:rPr>
          <w:rFonts w:cs="Times New Roman"/>
          <w:noProof/>
          <w:sz w:val="20"/>
          <w:szCs w:val="20"/>
          <w:lang w:val="en-US"/>
        </w:rPr>
        <w:t xml:space="preserve"> 57 (November): 170–80. </w:t>
      </w:r>
    </w:p>
    <w:p w:rsidR="00BE3DC6" w:rsidRPr="005F4743" w:rsidRDefault="00BE3DC6" w:rsidP="008853B9">
      <w:pPr>
        <w:widowControl w:val="0"/>
        <w:autoSpaceDE w:val="0"/>
        <w:autoSpaceDN w:val="0"/>
        <w:adjustRightInd w:val="0"/>
        <w:spacing w:line="240" w:lineRule="auto"/>
        <w:ind w:left="480" w:hanging="480"/>
        <w:jc w:val="both"/>
        <w:rPr>
          <w:rFonts w:cs="Times New Roman"/>
          <w:noProof/>
          <w:sz w:val="20"/>
          <w:szCs w:val="20"/>
          <w:lang w:val="en-US"/>
        </w:rPr>
      </w:pPr>
      <w:r w:rsidRPr="005F4743">
        <w:rPr>
          <w:rFonts w:cs="Times New Roman"/>
          <w:noProof/>
          <w:sz w:val="20"/>
          <w:szCs w:val="20"/>
          <w:lang w:val="en-US"/>
        </w:rPr>
        <w:t xml:space="preserve">Molle, François, Peter P. Mollinga, and Philippus Wester. 2009. “Hydraulic Bureaucracies and the Hydraulic Mission: Flows of Water, Flows of Power.” </w:t>
      </w:r>
      <w:r w:rsidRPr="005F4743">
        <w:rPr>
          <w:rFonts w:cs="Times New Roman"/>
          <w:i/>
          <w:iCs/>
          <w:noProof/>
          <w:sz w:val="20"/>
          <w:szCs w:val="20"/>
          <w:lang w:val="en-US"/>
        </w:rPr>
        <w:t>Water Alternatives</w:t>
      </w:r>
      <w:r w:rsidRPr="005F4743">
        <w:rPr>
          <w:rFonts w:cs="Times New Roman"/>
          <w:noProof/>
          <w:sz w:val="20"/>
          <w:szCs w:val="20"/>
          <w:lang w:val="en-US"/>
        </w:rPr>
        <w:t xml:space="preserve"> 2 (3): 328–49.</w:t>
      </w:r>
    </w:p>
    <w:p w:rsidR="00BE3DC6" w:rsidRPr="005F4743" w:rsidRDefault="00BE3DC6" w:rsidP="008853B9">
      <w:pPr>
        <w:widowControl w:val="0"/>
        <w:autoSpaceDE w:val="0"/>
        <w:autoSpaceDN w:val="0"/>
        <w:adjustRightInd w:val="0"/>
        <w:spacing w:line="240" w:lineRule="auto"/>
        <w:ind w:left="480" w:hanging="480"/>
        <w:jc w:val="both"/>
        <w:rPr>
          <w:rFonts w:cs="Times New Roman"/>
          <w:noProof/>
          <w:sz w:val="20"/>
          <w:szCs w:val="20"/>
          <w:lang w:val="en-US"/>
        </w:rPr>
      </w:pPr>
      <w:r w:rsidRPr="005F4743">
        <w:rPr>
          <w:rFonts w:cs="Times New Roman"/>
          <w:noProof/>
          <w:sz w:val="20"/>
          <w:szCs w:val="20"/>
          <w:lang w:val="en-US"/>
        </w:rPr>
        <w:t xml:space="preserve">Molle, François, and Philippus Wester. 2009. </w:t>
      </w:r>
      <w:r w:rsidRPr="005F4743">
        <w:rPr>
          <w:rFonts w:cs="Times New Roman"/>
          <w:i/>
          <w:iCs/>
          <w:noProof/>
          <w:sz w:val="20"/>
          <w:szCs w:val="20"/>
          <w:lang w:val="en-US"/>
        </w:rPr>
        <w:t>River Basin Trajectories : Societies, Environments and Development</w:t>
      </w:r>
      <w:r w:rsidRPr="005F4743">
        <w:rPr>
          <w:rFonts w:cs="Times New Roman"/>
          <w:noProof/>
          <w:sz w:val="20"/>
          <w:szCs w:val="20"/>
          <w:lang w:val="en-US"/>
        </w:rPr>
        <w:t xml:space="preserve">. </w:t>
      </w:r>
      <w:r w:rsidR="00AE5699" w:rsidRPr="005F4743">
        <w:rPr>
          <w:rFonts w:cs="Times New Roman"/>
          <w:noProof/>
          <w:sz w:val="20"/>
          <w:szCs w:val="20"/>
          <w:lang w:val="en-US"/>
        </w:rPr>
        <w:t>I</w:t>
      </w:r>
      <w:r w:rsidRPr="005F4743">
        <w:rPr>
          <w:rFonts w:cs="Times New Roman"/>
          <w:noProof/>
          <w:sz w:val="20"/>
          <w:szCs w:val="20"/>
          <w:lang w:val="en-US"/>
        </w:rPr>
        <w:t>WMI.</w:t>
      </w:r>
      <w:r w:rsidR="00AE5699" w:rsidRPr="005F4743">
        <w:rPr>
          <w:rFonts w:cs="Times New Roman"/>
          <w:noProof/>
          <w:sz w:val="20"/>
          <w:szCs w:val="20"/>
          <w:lang w:val="en-US"/>
        </w:rPr>
        <w:t xml:space="preserve"> pp. 1-20.</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5F4743">
        <w:rPr>
          <w:rFonts w:cs="Times New Roman"/>
          <w:noProof/>
          <w:sz w:val="20"/>
          <w:szCs w:val="20"/>
          <w:lang w:val="en-US"/>
        </w:rPr>
        <w:t xml:space="preserve">Mollinga, Peter P, and Gert Jan Veldwisch. 2016. “Ruling by Canal: Governance and System-Level Design Characteristics of Large-Scale Irrigation Infrastructure in India and Uzbekistan.” </w:t>
      </w:r>
      <w:r w:rsidRPr="00370733">
        <w:rPr>
          <w:rFonts w:cs="Times New Roman"/>
          <w:i/>
          <w:iCs/>
          <w:noProof/>
          <w:sz w:val="20"/>
          <w:szCs w:val="20"/>
        </w:rPr>
        <w:t>Water Alternatives</w:t>
      </w:r>
      <w:r w:rsidRPr="00370733">
        <w:rPr>
          <w:rFonts w:cs="Times New Roman"/>
          <w:noProof/>
          <w:sz w:val="20"/>
          <w:szCs w:val="20"/>
        </w:rPr>
        <w:t xml:space="preserve"> 9 (2): 222–49. </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370733">
        <w:rPr>
          <w:rFonts w:cs="Times New Roman"/>
          <w:noProof/>
          <w:sz w:val="20"/>
          <w:szCs w:val="20"/>
        </w:rPr>
        <w:t xml:space="preserve">Muller, Pierre. 2000. “L’analyse Cognitive Des Politiques Publiques ; Vers Une Sociologie Politique de l’action Publique.” </w:t>
      </w:r>
      <w:r w:rsidRPr="00370733">
        <w:rPr>
          <w:rFonts w:cs="Times New Roman"/>
          <w:i/>
          <w:iCs/>
          <w:noProof/>
          <w:sz w:val="20"/>
          <w:szCs w:val="20"/>
        </w:rPr>
        <w:t>Revue Française de Science Politique</w:t>
      </w:r>
      <w:r w:rsidRPr="00370733">
        <w:rPr>
          <w:rFonts w:cs="Times New Roman"/>
          <w:noProof/>
          <w:sz w:val="20"/>
          <w:szCs w:val="20"/>
        </w:rPr>
        <w:t xml:space="preserve"> 50 (2): 189–207.</w:t>
      </w:r>
    </w:p>
    <w:p w:rsidR="00BE3DC6" w:rsidRPr="00370733" w:rsidRDefault="00BE3DC6" w:rsidP="008853B9">
      <w:pPr>
        <w:widowControl w:val="0"/>
        <w:autoSpaceDE w:val="0"/>
        <w:autoSpaceDN w:val="0"/>
        <w:adjustRightInd w:val="0"/>
        <w:spacing w:line="240" w:lineRule="auto"/>
        <w:ind w:left="480" w:hanging="480"/>
        <w:jc w:val="both"/>
        <w:rPr>
          <w:rFonts w:cs="Times New Roman"/>
          <w:noProof/>
          <w:sz w:val="20"/>
          <w:szCs w:val="20"/>
        </w:rPr>
      </w:pPr>
      <w:r w:rsidRPr="00370733">
        <w:rPr>
          <w:rFonts w:cs="Times New Roman"/>
          <w:noProof/>
          <w:sz w:val="20"/>
          <w:szCs w:val="20"/>
        </w:rPr>
        <w:t xml:space="preserve">Olivier de Sardan, Jean-Pierre. 1995. “La politique du terrain.” </w:t>
      </w:r>
      <w:r w:rsidRPr="00370733">
        <w:rPr>
          <w:rFonts w:cs="Times New Roman"/>
          <w:i/>
          <w:iCs/>
          <w:noProof/>
          <w:sz w:val="20"/>
          <w:szCs w:val="20"/>
        </w:rPr>
        <w:t>Enquête</w:t>
      </w:r>
      <w:r w:rsidRPr="00370733">
        <w:rPr>
          <w:rFonts w:cs="Times New Roman"/>
          <w:noProof/>
          <w:sz w:val="20"/>
          <w:szCs w:val="20"/>
        </w:rPr>
        <w:t xml:space="preserve">, no. 1 (March): 71–109. </w:t>
      </w:r>
    </w:p>
    <w:p w:rsidR="00BE3DC6" w:rsidRPr="00370733" w:rsidRDefault="00BE3DC6" w:rsidP="008853B9">
      <w:pPr>
        <w:widowControl w:val="0"/>
        <w:autoSpaceDE w:val="0"/>
        <w:autoSpaceDN w:val="0"/>
        <w:adjustRightInd w:val="0"/>
        <w:spacing w:line="240" w:lineRule="auto"/>
        <w:ind w:left="480" w:hanging="480"/>
        <w:jc w:val="both"/>
        <w:rPr>
          <w:noProof/>
          <w:sz w:val="20"/>
          <w:szCs w:val="20"/>
        </w:rPr>
      </w:pPr>
      <w:r w:rsidRPr="00370733">
        <w:rPr>
          <w:rFonts w:cs="Times New Roman"/>
          <w:noProof/>
          <w:sz w:val="20"/>
          <w:szCs w:val="20"/>
        </w:rPr>
        <w:t xml:space="preserve">Robbins, Paul. 2012. “Qu’est-Ce Que La </w:t>
      </w:r>
      <w:r w:rsidRPr="00370733">
        <w:rPr>
          <w:rFonts w:cs="Times New Roman"/>
          <w:i/>
          <w:iCs/>
          <w:noProof/>
          <w:sz w:val="20"/>
          <w:szCs w:val="20"/>
        </w:rPr>
        <w:t>Political Ecology</w:t>
      </w:r>
      <w:r w:rsidRPr="00370733">
        <w:rPr>
          <w:rFonts w:cs="Times New Roman"/>
          <w:noProof/>
          <w:sz w:val="20"/>
          <w:szCs w:val="20"/>
        </w:rPr>
        <w:t xml:space="preserve"> ?” In </w:t>
      </w:r>
      <w:r w:rsidRPr="00370733">
        <w:rPr>
          <w:rFonts w:cs="Times New Roman"/>
          <w:i/>
          <w:iCs/>
          <w:noProof/>
          <w:sz w:val="20"/>
          <w:szCs w:val="20"/>
        </w:rPr>
        <w:t>Environnement, Discours et Pouvoir</w:t>
      </w:r>
      <w:r w:rsidRPr="00370733">
        <w:rPr>
          <w:rFonts w:cs="Times New Roman"/>
          <w:noProof/>
          <w:sz w:val="20"/>
          <w:szCs w:val="20"/>
        </w:rPr>
        <w:t xml:space="preserve">, 21. Editions Quæ. </w:t>
      </w:r>
    </w:p>
    <w:p w:rsidR="001E66D7" w:rsidRPr="0098777D" w:rsidRDefault="00344818" w:rsidP="008853B9">
      <w:pPr>
        <w:widowControl w:val="0"/>
        <w:autoSpaceDE w:val="0"/>
        <w:autoSpaceDN w:val="0"/>
        <w:adjustRightInd w:val="0"/>
        <w:spacing w:line="240" w:lineRule="auto"/>
        <w:ind w:left="480" w:hanging="480"/>
        <w:jc w:val="both"/>
        <w:rPr>
          <w:sz w:val="20"/>
          <w:szCs w:val="20"/>
        </w:rPr>
      </w:pPr>
      <w:r w:rsidRPr="00370733">
        <w:rPr>
          <w:rStyle w:val="Rfrenceintense"/>
          <w:sz w:val="20"/>
          <w:szCs w:val="20"/>
          <w:lang w:val="fr-FR"/>
        </w:rPr>
        <w:fldChar w:fldCharType="end"/>
      </w:r>
      <w:r w:rsidR="0098777D" w:rsidRPr="0098777D">
        <w:rPr>
          <w:sz w:val="20"/>
          <w:szCs w:val="20"/>
        </w:rPr>
        <w:t>Secrétariat</w:t>
      </w:r>
      <w:r w:rsidR="0098777D" w:rsidRPr="0098777D">
        <w:rPr>
          <w:rStyle w:val="Rfrenceintense"/>
          <w:sz w:val="20"/>
          <w:szCs w:val="20"/>
          <w:lang w:val="fr-FR"/>
        </w:rPr>
        <w:t xml:space="preserve"> technique </w:t>
      </w:r>
      <w:r w:rsidR="0098777D">
        <w:rPr>
          <w:rStyle w:val="Rfrenceintense"/>
          <w:sz w:val="20"/>
          <w:szCs w:val="20"/>
          <w:lang w:val="fr-FR"/>
        </w:rPr>
        <w:t xml:space="preserve">du SDAGE Rhône Méditerranée. 2019. </w:t>
      </w:r>
      <w:r w:rsidR="008853B9" w:rsidRPr="00370733">
        <w:rPr>
          <w:rFonts w:cs="Times New Roman"/>
          <w:noProof/>
          <w:sz w:val="20"/>
          <w:szCs w:val="20"/>
        </w:rPr>
        <w:t>“</w:t>
      </w:r>
      <w:r w:rsidR="0098777D">
        <w:rPr>
          <w:rStyle w:val="Rfrenceintense"/>
          <w:sz w:val="20"/>
          <w:szCs w:val="20"/>
          <w:lang w:val="fr-FR"/>
        </w:rPr>
        <w:t>Plan de Gestion Quantitative de la Ressource en Eau. Principes, Gouvernance, Suivi et Révision</w:t>
      </w:r>
      <w:r w:rsidR="008853B9" w:rsidRPr="00370733">
        <w:rPr>
          <w:rFonts w:cs="Times New Roman"/>
          <w:noProof/>
          <w:sz w:val="20"/>
          <w:szCs w:val="20"/>
        </w:rPr>
        <w:t>”</w:t>
      </w:r>
      <w:r w:rsidR="0098777D">
        <w:rPr>
          <w:rStyle w:val="Rfrenceintense"/>
          <w:sz w:val="20"/>
          <w:szCs w:val="20"/>
          <w:lang w:val="fr-FR"/>
        </w:rPr>
        <w:t>.</w:t>
      </w:r>
      <w:r w:rsidR="0098777D" w:rsidRPr="0098777D">
        <w:rPr>
          <w:rStyle w:val="Rfrenceintense"/>
          <w:sz w:val="20"/>
          <w:szCs w:val="20"/>
          <w:lang w:val="fr-FR"/>
        </w:rPr>
        <w:t xml:space="preserve"> </w:t>
      </w:r>
      <w:r w:rsidR="0098777D">
        <w:rPr>
          <w:rStyle w:val="Rfrenceintense"/>
          <w:sz w:val="20"/>
          <w:szCs w:val="20"/>
          <w:lang w:val="fr-FR"/>
        </w:rPr>
        <w:t>28 pages.</w:t>
      </w:r>
    </w:p>
    <w:sectPr w:rsidR="001E66D7" w:rsidRPr="0098777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A2B" w:rsidRDefault="00FD3A2B" w:rsidP="00312E4C">
      <w:pPr>
        <w:spacing w:after="0" w:line="240" w:lineRule="auto"/>
      </w:pPr>
      <w:r>
        <w:separator/>
      </w:r>
    </w:p>
  </w:endnote>
  <w:endnote w:type="continuationSeparator" w:id="0">
    <w:p w:rsidR="00FD3A2B" w:rsidRDefault="00FD3A2B"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rsidR="00BA43D7" w:rsidRDefault="00911CDB"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2F195015" wp14:editId="7921EFC5">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7B02F89"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mc:Fallback>
              </mc:AlternateContent>
            </w:r>
          </w:p>
          <w:p w:rsidR="00BA43D7" w:rsidRDefault="00911CDB" w:rsidP="00911CDB">
            <w:pPr>
              <w:pStyle w:val="Pieddepage"/>
              <w:tabs>
                <w:tab w:val="left" w:pos="5670"/>
              </w:tabs>
            </w:pPr>
            <w:r>
              <w:rPr>
                <w:bCs/>
                <w:szCs w:val="24"/>
              </w:rPr>
              <w:tab/>
            </w:r>
            <w:r w:rsidR="00BA43D7" w:rsidRPr="00911CDB">
              <w:rPr>
                <w:bCs/>
                <w:color w:val="244061" w:themeColor="accent1" w:themeShade="80"/>
                <w:szCs w:val="24"/>
              </w:rPr>
              <w:fldChar w:fldCharType="begin"/>
            </w:r>
            <w:r w:rsidR="00BA43D7" w:rsidRPr="00911CDB">
              <w:rPr>
                <w:bCs/>
                <w:color w:val="244061" w:themeColor="accent1" w:themeShade="80"/>
              </w:rPr>
              <w:instrText>PAGE</w:instrText>
            </w:r>
            <w:r w:rsidR="00BA43D7" w:rsidRPr="00911CDB">
              <w:rPr>
                <w:bCs/>
                <w:color w:val="244061" w:themeColor="accent1" w:themeShade="80"/>
                <w:szCs w:val="24"/>
              </w:rPr>
              <w:fldChar w:fldCharType="separate"/>
            </w:r>
            <w:r w:rsidR="009138AD">
              <w:rPr>
                <w:bCs/>
                <w:noProof/>
                <w:color w:val="244061" w:themeColor="accent1" w:themeShade="80"/>
              </w:rPr>
              <w:t>2</w:t>
            </w:r>
            <w:r w:rsidR="00BA43D7" w:rsidRPr="00911CDB">
              <w:rPr>
                <w:bCs/>
                <w:color w:val="244061" w:themeColor="accent1" w:themeShade="80"/>
                <w:szCs w:val="24"/>
              </w:rPr>
              <w:fldChar w:fldCharType="end"/>
            </w:r>
            <w:r w:rsidR="00BA43D7" w:rsidRPr="00911CDB">
              <w:rPr>
                <w:color w:val="244061" w:themeColor="accent1" w:themeShade="80"/>
              </w:rPr>
              <w:t xml:space="preserve"> / </w:t>
            </w:r>
            <w:r w:rsidR="00BA43D7" w:rsidRPr="00911CDB">
              <w:rPr>
                <w:bCs/>
                <w:color w:val="244061" w:themeColor="accent1" w:themeShade="80"/>
                <w:szCs w:val="24"/>
              </w:rPr>
              <w:fldChar w:fldCharType="begin"/>
            </w:r>
            <w:r w:rsidR="00BA43D7" w:rsidRPr="00911CDB">
              <w:rPr>
                <w:bCs/>
                <w:color w:val="244061" w:themeColor="accent1" w:themeShade="80"/>
              </w:rPr>
              <w:instrText>NUMPAGES</w:instrText>
            </w:r>
            <w:r w:rsidR="00BA43D7" w:rsidRPr="00911CDB">
              <w:rPr>
                <w:bCs/>
                <w:color w:val="244061" w:themeColor="accent1" w:themeShade="80"/>
                <w:szCs w:val="24"/>
              </w:rPr>
              <w:fldChar w:fldCharType="separate"/>
            </w:r>
            <w:r w:rsidR="009138AD">
              <w:rPr>
                <w:bCs/>
                <w:noProof/>
                <w:color w:val="244061" w:themeColor="accent1" w:themeShade="80"/>
              </w:rPr>
              <w:t>7</w:t>
            </w:r>
            <w:r w:rsidR="00BA43D7" w:rsidRPr="00911CDB">
              <w:rPr>
                <w:bCs/>
                <w:color w:val="244061" w:themeColor="accent1" w:themeShade="80"/>
                <w:szCs w:val="24"/>
              </w:rPr>
              <w:fldChar w:fldCharType="end"/>
            </w:r>
            <w:r>
              <w:rPr>
                <w:bCs/>
                <w:szCs w:val="24"/>
              </w:rPr>
              <w:tab/>
            </w:r>
          </w:p>
        </w:sdtContent>
      </w:sdt>
    </w:sdtContent>
  </w:sdt>
  <w:p w:rsidR="00BA43D7" w:rsidRDefault="00BA43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A2B" w:rsidRDefault="00FD3A2B" w:rsidP="00312E4C">
      <w:pPr>
        <w:spacing w:after="0" w:line="240" w:lineRule="auto"/>
      </w:pPr>
      <w:r>
        <w:separator/>
      </w:r>
    </w:p>
  </w:footnote>
  <w:footnote w:type="continuationSeparator" w:id="0">
    <w:p w:rsidR="00FD3A2B" w:rsidRDefault="00FD3A2B" w:rsidP="0031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4C" w:rsidRPr="00911CDB" w:rsidRDefault="001E66D7" w:rsidP="00911CDB">
    <w:pPr>
      <w:pStyle w:val="En-tte"/>
      <w:spacing w:line="300" w:lineRule="auto"/>
      <w:jc w:val="right"/>
      <w:rPr>
        <w:b/>
        <w:color w:val="244061" w:themeColor="accent1" w:themeShade="80"/>
        <w:szCs w:val="24"/>
      </w:rPr>
    </w:pPr>
    <w:r w:rsidRPr="00911CDB">
      <w:rPr>
        <w:b/>
        <w:color w:val="244061" w:themeColor="accent1" w:themeShade="80"/>
        <w:szCs w:val="24"/>
      </w:rPr>
      <w:t>Doctoriales en Sciences Sociales de l’eau</w:t>
    </w:r>
  </w:p>
  <w:p w:rsidR="001E66D7" w:rsidRPr="00911CDB" w:rsidRDefault="00911CDB"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 xml:space="preserve">ENS de </w:t>
    </w:r>
    <w:r w:rsidR="001E66D7" w:rsidRPr="00911CDB">
      <w:rPr>
        <w:color w:val="244061" w:themeColor="accent1" w:themeShade="80"/>
        <w:szCs w:val="24"/>
      </w:rPr>
      <w:t xml:space="preserve">Lyon – </w:t>
    </w:r>
    <w:r w:rsidRPr="00911CDB">
      <w:rPr>
        <w:color w:val="244061" w:themeColor="accent1" w:themeShade="80"/>
        <w:szCs w:val="24"/>
      </w:rPr>
      <w:t xml:space="preserve">5-6 septembre </w:t>
    </w:r>
    <w:r w:rsidR="001E66D7" w:rsidRPr="00911CDB">
      <w:rPr>
        <w:color w:val="244061" w:themeColor="accent1" w:themeShade="80"/>
        <w:szCs w:val="24"/>
      </w:rPr>
      <w:t>2019</w:t>
    </w:r>
  </w:p>
  <w:p w:rsidR="001E66D7" w:rsidRPr="001E66D7" w:rsidRDefault="00911CDB" w:rsidP="00911CDB">
    <w:pPr>
      <w:pStyle w:val="En-tte"/>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5FCA8C0F" wp14:editId="786C0E50">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3E397C7"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314"/>
    <w:multiLevelType w:val="multilevel"/>
    <w:tmpl w:val="E19CB8DC"/>
    <w:lvl w:ilvl="0">
      <w:start w:val="1"/>
      <w:numFmt w:val="decimal"/>
      <w:lvlText w:val="%1"/>
      <w:lvlJc w:val="left"/>
      <w:pPr>
        <w:tabs>
          <w:tab w:val="num" w:pos="432"/>
        </w:tabs>
        <w:ind w:left="432" w:hanging="432"/>
      </w:pPr>
      <w:rPr>
        <w:rFonts w:ascii="Century Gothic" w:eastAsia="Times New Roman" w:hAnsi="Century Gothic" w:cs="Arial"/>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7685B8C"/>
    <w:multiLevelType w:val="hybridMultilevel"/>
    <w:tmpl w:val="9AFEA8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756730"/>
    <w:multiLevelType w:val="multilevel"/>
    <w:tmpl w:val="BBBEFB78"/>
    <w:lvl w:ilvl="0">
      <w:start w:val="1"/>
      <w:numFmt w:val="decimal"/>
      <w:pStyle w:val="Titre1"/>
      <w:lvlText w:val="%1"/>
      <w:lvlJc w:val="left"/>
      <w:pPr>
        <w:tabs>
          <w:tab w:val="num" w:pos="432"/>
        </w:tabs>
        <w:ind w:left="432" w:hanging="432"/>
      </w:pPr>
      <w:rPr>
        <w:rFonts w:ascii="Century Gothic" w:eastAsia="Times New Roman" w:hAnsi="Century Gothic" w:cs="Arial"/>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4C"/>
    <w:rsid w:val="0001644B"/>
    <w:rsid w:val="00024C29"/>
    <w:rsid w:val="00032361"/>
    <w:rsid w:val="00055F9D"/>
    <w:rsid w:val="00056892"/>
    <w:rsid w:val="00065AC0"/>
    <w:rsid w:val="00072007"/>
    <w:rsid w:val="0008369B"/>
    <w:rsid w:val="000A1390"/>
    <w:rsid w:val="000E7728"/>
    <w:rsid w:val="000F495E"/>
    <w:rsid w:val="000F5F63"/>
    <w:rsid w:val="001326B3"/>
    <w:rsid w:val="00163017"/>
    <w:rsid w:val="001928BD"/>
    <w:rsid w:val="001B2246"/>
    <w:rsid w:val="001E66D7"/>
    <w:rsid w:val="001F7F1D"/>
    <w:rsid w:val="00210F17"/>
    <w:rsid w:val="00234231"/>
    <w:rsid w:val="00236EFF"/>
    <w:rsid w:val="002422D3"/>
    <w:rsid w:val="00245EE1"/>
    <w:rsid w:val="0028700A"/>
    <w:rsid w:val="00291FC6"/>
    <w:rsid w:val="002C4FE1"/>
    <w:rsid w:val="002E3637"/>
    <w:rsid w:val="00304753"/>
    <w:rsid w:val="00304BBD"/>
    <w:rsid w:val="00312E4C"/>
    <w:rsid w:val="00320E24"/>
    <w:rsid w:val="00330BBB"/>
    <w:rsid w:val="00344818"/>
    <w:rsid w:val="00350DF9"/>
    <w:rsid w:val="00354A58"/>
    <w:rsid w:val="00370733"/>
    <w:rsid w:val="00375693"/>
    <w:rsid w:val="003846D9"/>
    <w:rsid w:val="003B1525"/>
    <w:rsid w:val="003D1DDC"/>
    <w:rsid w:val="003D3E3C"/>
    <w:rsid w:val="003E564E"/>
    <w:rsid w:val="004039BE"/>
    <w:rsid w:val="00420358"/>
    <w:rsid w:val="00421E01"/>
    <w:rsid w:val="00430DDA"/>
    <w:rsid w:val="004323ED"/>
    <w:rsid w:val="00433DF5"/>
    <w:rsid w:val="0043670C"/>
    <w:rsid w:val="00442009"/>
    <w:rsid w:val="004447D7"/>
    <w:rsid w:val="00445BE5"/>
    <w:rsid w:val="00446D5E"/>
    <w:rsid w:val="0045450B"/>
    <w:rsid w:val="004755FB"/>
    <w:rsid w:val="00480EEF"/>
    <w:rsid w:val="004A4F00"/>
    <w:rsid w:val="004B6E64"/>
    <w:rsid w:val="004E24B7"/>
    <w:rsid w:val="004E7FE3"/>
    <w:rsid w:val="00527B20"/>
    <w:rsid w:val="00531186"/>
    <w:rsid w:val="00531CBC"/>
    <w:rsid w:val="005343C6"/>
    <w:rsid w:val="005415FB"/>
    <w:rsid w:val="0057672A"/>
    <w:rsid w:val="005900B5"/>
    <w:rsid w:val="0059073A"/>
    <w:rsid w:val="005A23F3"/>
    <w:rsid w:val="005B2FE3"/>
    <w:rsid w:val="005B721A"/>
    <w:rsid w:val="005D262D"/>
    <w:rsid w:val="005F4743"/>
    <w:rsid w:val="005F561B"/>
    <w:rsid w:val="006007C1"/>
    <w:rsid w:val="00601F5B"/>
    <w:rsid w:val="00603713"/>
    <w:rsid w:val="0062168B"/>
    <w:rsid w:val="00623AA3"/>
    <w:rsid w:val="00624CA3"/>
    <w:rsid w:val="00635C6A"/>
    <w:rsid w:val="00641B94"/>
    <w:rsid w:val="006708C6"/>
    <w:rsid w:val="006B0E66"/>
    <w:rsid w:val="006B79E4"/>
    <w:rsid w:val="006D4AB5"/>
    <w:rsid w:val="006D5786"/>
    <w:rsid w:val="00715E11"/>
    <w:rsid w:val="00733F16"/>
    <w:rsid w:val="0073458C"/>
    <w:rsid w:val="00745EC3"/>
    <w:rsid w:val="00771693"/>
    <w:rsid w:val="007754CA"/>
    <w:rsid w:val="007771D9"/>
    <w:rsid w:val="00780C6A"/>
    <w:rsid w:val="007817D7"/>
    <w:rsid w:val="007A1A30"/>
    <w:rsid w:val="007B02C1"/>
    <w:rsid w:val="007B7A27"/>
    <w:rsid w:val="007C0F40"/>
    <w:rsid w:val="007C10D6"/>
    <w:rsid w:val="007F7A9F"/>
    <w:rsid w:val="00800581"/>
    <w:rsid w:val="008239D1"/>
    <w:rsid w:val="008276BC"/>
    <w:rsid w:val="00827C66"/>
    <w:rsid w:val="008565B1"/>
    <w:rsid w:val="008721D5"/>
    <w:rsid w:val="00872D90"/>
    <w:rsid w:val="00876C4E"/>
    <w:rsid w:val="0087734C"/>
    <w:rsid w:val="008853B9"/>
    <w:rsid w:val="008E002F"/>
    <w:rsid w:val="008E4B8C"/>
    <w:rsid w:val="008E7C55"/>
    <w:rsid w:val="00911CDB"/>
    <w:rsid w:val="009138AD"/>
    <w:rsid w:val="00915C4A"/>
    <w:rsid w:val="00917DB9"/>
    <w:rsid w:val="00933114"/>
    <w:rsid w:val="00944E42"/>
    <w:rsid w:val="009513DD"/>
    <w:rsid w:val="0098777D"/>
    <w:rsid w:val="009A3C6E"/>
    <w:rsid w:val="009A6AC9"/>
    <w:rsid w:val="009A6D1E"/>
    <w:rsid w:val="009B15DE"/>
    <w:rsid w:val="009C0BB9"/>
    <w:rsid w:val="009E2287"/>
    <w:rsid w:val="009E251C"/>
    <w:rsid w:val="00A14BD3"/>
    <w:rsid w:val="00A22303"/>
    <w:rsid w:val="00A24CAA"/>
    <w:rsid w:val="00A30025"/>
    <w:rsid w:val="00A4067B"/>
    <w:rsid w:val="00A548C1"/>
    <w:rsid w:val="00A66AD0"/>
    <w:rsid w:val="00AA3F1F"/>
    <w:rsid w:val="00AA74EF"/>
    <w:rsid w:val="00AB20C0"/>
    <w:rsid w:val="00AB41F0"/>
    <w:rsid w:val="00AE0716"/>
    <w:rsid w:val="00AE44A3"/>
    <w:rsid w:val="00AE5699"/>
    <w:rsid w:val="00B3079A"/>
    <w:rsid w:val="00B3437D"/>
    <w:rsid w:val="00B554F4"/>
    <w:rsid w:val="00B70166"/>
    <w:rsid w:val="00B7173F"/>
    <w:rsid w:val="00B7569A"/>
    <w:rsid w:val="00B944BB"/>
    <w:rsid w:val="00B94BC8"/>
    <w:rsid w:val="00BA43D7"/>
    <w:rsid w:val="00BC3443"/>
    <w:rsid w:val="00BE1174"/>
    <w:rsid w:val="00BE3DC6"/>
    <w:rsid w:val="00BF1EDE"/>
    <w:rsid w:val="00C31020"/>
    <w:rsid w:val="00C40C70"/>
    <w:rsid w:val="00C40E3F"/>
    <w:rsid w:val="00C52530"/>
    <w:rsid w:val="00C60CAB"/>
    <w:rsid w:val="00C916A0"/>
    <w:rsid w:val="00CB0F84"/>
    <w:rsid w:val="00CB1236"/>
    <w:rsid w:val="00CB629B"/>
    <w:rsid w:val="00CC05A7"/>
    <w:rsid w:val="00CC60DB"/>
    <w:rsid w:val="00D01111"/>
    <w:rsid w:val="00D15730"/>
    <w:rsid w:val="00D43DEC"/>
    <w:rsid w:val="00D938A4"/>
    <w:rsid w:val="00DB380F"/>
    <w:rsid w:val="00DE537E"/>
    <w:rsid w:val="00E15631"/>
    <w:rsid w:val="00E45310"/>
    <w:rsid w:val="00E96C3B"/>
    <w:rsid w:val="00EA30BE"/>
    <w:rsid w:val="00EC3340"/>
    <w:rsid w:val="00ED6934"/>
    <w:rsid w:val="00EE69D9"/>
    <w:rsid w:val="00EF7DE3"/>
    <w:rsid w:val="00F055BE"/>
    <w:rsid w:val="00F1779B"/>
    <w:rsid w:val="00F20235"/>
    <w:rsid w:val="00F25B3D"/>
    <w:rsid w:val="00F55625"/>
    <w:rsid w:val="00F55CD0"/>
    <w:rsid w:val="00F678F4"/>
    <w:rsid w:val="00F73FBD"/>
    <w:rsid w:val="00F77286"/>
    <w:rsid w:val="00FA03E3"/>
    <w:rsid w:val="00FB2B42"/>
    <w:rsid w:val="00FC3972"/>
    <w:rsid w:val="00FD3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E157-4B49-4C9E-8011-7C7D4D61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7</Pages>
  <Words>6186</Words>
  <Characters>34027</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40133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BUISSON André</cp:lastModifiedBy>
  <cp:revision>119</cp:revision>
  <cp:lastPrinted>2019-03-29T10:21:00Z</cp:lastPrinted>
  <dcterms:created xsi:type="dcterms:W3CDTF">2019-03-26T14:45:00Z</dcterms:created>
  <dcterms:modified xsi:type="dcterms:W3CDTF">2019-06-24T09:21:00Z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http://www.zotero.org/styles/chicago-author-date</vt:lpwstr>
  </property>
  <property fmtid="{D5CDD505-2E9C-101B-9397-08002B2CF9AE}" pid="24" name="Mendeley Unique User Id_1">
    <vt:lpwstr>67b73a5e-9f2b-37ec-86d7-1c77c1be73ec</vt:lpwstr>
  </property>
</Properties>
</file>