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D7" w:rsidRDefault="001E66D7" w:rsidP="00312E4C">
      <w:pPr>
        <w:rPr>
          <w:b/>
          <w:sz w:val="28"/>
          <w:szCs w:val="28"/>
        </w:rPr>
      </w:pPr>
    </w:p>
    <w:p w:rsidR="00312E4C" w:rsidRPr="00911CDB" w:rsidRDefault="00312E4C" w:rsidP="00312E4C">
      <w:pPr>
        <w:rPr>
          <w:b/>
          <w:color w:val="244061" w:themeColor="accent1" w:themeShade="80"/>
          <w:sz w:val="28"/>
          <w:szCs w:val="28"/>
        </w:rPr>
      </w:pPr>
      <w:r w:rsidRPr="00911CDB">
        <w:rPr>
          <w:b/>
          <w:color w:val="244061" w:themeColor="accent1" w:themeShade="80"/>
          <w:sz w:val="28"/>
          <w:szCs w:val="28"/>
        </w:rPr>
        <w:t xml:space="preserve">Titre de la </w:t>
      </w:r>
      <w:r w:rsidR="00D43DEC" w:rsidRPr="00911CDB">
        <w:rPr>
          <w:b/>
          <w:color w:val="244061" w:themeColor="accent1" w:themeShade="80"/>
          <w:sz w:val="28"/>
          <w:szCs w:val="28"/>
        </w:rPr>
        <w:t>présentation</w:t>
      </w:r>
      <w:r w:rsidR="00F1260C">
        <w:rPr>
          <w:b/>
          <w:color w:val="244061" w:themeColor="accent1" w:themeShade="80"/>
          <w:sz w:val="28"/>
          <w:szCs w:val="28"/>
        </w:rPr>
        <w:t xml:space="preserve"> : Espace-ressource dans une ville fragile : le cas du fleuve </w:t>
      </w:r>
      <w:r w:rsidR="00F1260C" w:rsidRPr="00F1260C">
        <w:rPr>
          <w:b/>
          <w:i/>
          <w:iCs/>
          <w:color w:val="244061" w:themeColor="accent1" w:themeShade="80"/>
          <w:sz w:val="28"/>
          <w:szCs w:val="28"/>
        </w:rPr>
        <w:t>Nahr Beyrouth</w:t>
      </w:r>
      <w:r w:rsidR="00F1260C">
        <w:rPr>
          <w:b/>
          <w:color w:val="244061" w:themeColor="accent1" w:themeShade="80"/>
          <w:sz w:val="28"/>
          <w:szCs w:val="28"/>
        </w:rPr>
        <w:t>.</w:t>
      </w:r>
    </w:p>
    <w:p w:rsidR="00312E4C" w:rsidRPr="00911CDB" w:rsidRDefault="00623AA3" w:rsidP="00F1260C">
      <w:pPr>
        <w:rPr>
          <w:b/>
          <w:color w:val="244061" w:themeColor="accent1" w:themeShade="80"/>
          <w:sz w:val="24"/>
          <w:szCs w:val="24"/>
        </w:rPr>
      </w:pPr>
      <w:r w:rsidRPr="00911CDB">
        <w:rPr>
          <w:b/>
          <w:color w:val="244061" w:themeColor="accent1" w:themeShade="80"/>
          <w:sz w:val="24"/>
          <w:szCs w:val="24"/>
        </w:rPr>
        <w:t>Nom</w:t>
      </w:r>
      <w:r w:rsidR="00F1260C">
        <w:rPr>
          <w:b/>
          <w:color w:val="244061" w:themeColor="accent1" w:themeShade="80"/>
          <w:sz w:val="24"/>
          <w:szCs w:val="24"/>
        </w:rPr>
        <w:t> : Fayad</w:t>
      </w:r>
    </w:p>
    <w:p w:rsidR="00623AA3" w:rsidRPr="00911CDB" w:rsidRDefault="00623AA3" w:rsidP="00312E4C">
      <w:pPr>
        <w:rPr>
          <w:b/>
          <w:color w:val="244061" w:themeColor="accent1" w:themeShade="80"/>
          <w:sz w:val="24"/>
          <w:szCs w:val="24"/>
        </w:rPr>
      </w:pPr>
      <w:r w:rsidRPr="00911CDB">
        <w:rPr>
          <w:b/>
          <w:color w:val="244061" w:themeColor="accent1" w:themeShade="80"/>
          <w:sz w:val="24"/>
          <w:szCs w:val="24"/>
        </w:rPr>
        <w:t>Prénom</w:t>
      </w:r>
      <w:r w:rsidR="00F1260C">
        <w:rPr>
          <w:b/>
          <w:color w:val="244061" w:themeColor="accent1" w:themeShade="80"/>
          <w:sz w:val="24"/>
          <w:szCs w:val="24"/>
        </w:rPr>
        <w:t> : Nadin</w:t>
      </w:r>
    </w:p>
    <w:p w:rsidR="002E3637" w:rsidRPr="00911CDB" w:rsidRDefault="002E3637" w:rsidP="00312E4C">
      <w:pPr>
        <w:rPr>
          <w:b/>
          <w:color w:val="244061" w:themeColor="accent1" w:themeShade="80"/>
          <w:sz w:val="24"/>
          <w:szCs w:val="24"/>
        </w:rPr>
      </w:pPr>
      <w:r w:rsidRPr="00911CDB">
        <w:rPr>
          <w:b/>
          <w:color w:val="244061" w:themeColor="accent1" w:themeShade="80"/>
          <w:sz w:val="24"/>
          <w:szCs w:val="24"/>
        </w:rPr>
        <w:t>Titre de la thèse</w:t>
      </w:r>
      <w:r w:rsidR="00F1260C">
        <w:rPr>
          <w:b/>
          <w:color w:val="244061" w:themeColor="accent1" w:themeShade="80"/>
          <w:sz w:val="24"/>
          <w:szCs w:val="24"/>
        </w:rPr>
        <w:t xml:space="preserve"> : </w:t>
      </w:r>
      <w:r w:rsidR="00F1260C" w:rsidRPr="00F1260C">
        <w:rPr>
          <w:b/>
          <w:color w:val="244061" w:themeColor="accent1" w:themeShade="80"/>
          <w:sz w:val="24"/>
          <w:szCs w:val="24"/>
        </w:rPr>
        <w:t xml:space="preserve">Espace-ressource dans une ville fragile : le cas du fleuve </w:t>
      </w:r>
      <w:r w:rsidR="00F1260C" w:rsidRPr="00F1260C">
        <w:rPr>
          <w:b/>
          <w:i/>
          <w:iCs/>
          <w:color w:val="244061" w:themeColor="accent1" w:themeShade="80"/>
          <w:sz w:val="24"/>
          <w:szCs w:val="24"/>
        </w:rPr>
        <w:t>Nahr Beyrouth</w:t>
      </w:r>
      <w:r w:rsidR="00F1260C" w:rsidRPr="00F1260C">
        <w:rPr>
          <w:b/>
          <w:color w:val="244061" w:themeColor="accent1" w:themeShade="80"/>
          <w:sz w:val="24"/>
          <w:szCs w:val="24"/>
        </w:rPr>
        <w:t>.</w:t>
      </w:r>
    </w:p>
    <w:p w:rsidR="00E96C3B" w:rsidRDefault="00E96C3B" w:rsidP="00410330">
      <w:pPr>
        <w:rPr>
          <w:b/>
          <w:color w:val="244061" w:themeColor="accent1" w:themeShade="80"/>
          <w:sz w:val="24"/>
          <w:szCs w:val="24"/>
        </w:rPr>
      </w:pPr>
      <w:r>
        <w:rPr>
          <w:b/>
          <w:color w:val="244061" w:themeColor="accent1" w:themeShade="80"/>
          <w:sz w:val="24"/>
          <w:szCs w:val="24"/>
        </w:rPr>
        <w:t>Discipline(s)</w:t>
      </w:r>
      <w:r w:rsidR="00F1260C">
        <w:rPr>
          <w:b/>
          <w:color w:val="244061" w:themeColor="accent1" w:themeShade="80"/>
          <w:sz w:val="24"/>
          <w:szCs w:val="24"/>
        </w:rPr>
        <w:t xml:space="preserve"> : Aménagement et </w:t>
      </w:r>
      <w:r w:rsidR="00410330">
        <w:rPr>
          <w:b/>
          <w:color w:val="244061" w:themeColor="accent1" w:themeShade="80"/>
          <w:sz w:val="24"/>
          <w:szCs w:val="24"/>
        </w:rPr>
        <w:t>urbanisme</w:t>
      </w:r>
    </w:p>
    <w:p w:rsidR="00623AA3" w:rsidRPr="00911CDB" w:rsidRDefault="00623AA3" w:rsidP="00312E4C">
      <w:pPr>
        <w:rPr>
          <w:b/>
          <w:color w:val="244061" w:themeColor="accent1" w:themeShade="80"/>
          <w:sz w:val="24"/>
          <w:szCs w:val="24"/>
        </w:rPr>
      </w:pPr>
      <w:r w:rsidRPr="00911CDB">
        <w:rPr>
          <w:b/>
          <w:color w:val="244061" w:themeColor="accent1" w:themeShade="80"/>
          <w:sz w:val="24"/>
          <w:szCs w:val="24"/>
        </w:rPr>
        <w:t>Directeur –trice de thèse</w:t>
      </w:r>
      <w:r w:rsidR="00F1260C">
        <w:rPr>
          <w:b/>
          <w:color w:val="244061" w:themeColor="accent1" w:themeShade="80"/>
          <w:sz w:val="24"/>
          <w:szCs w:val="24"/>
        </w:rPr>
        <w:t> : Marc Dumont</w:t>
      </w:r>
    </w:p>
    <w:p w:rsidR="00623AA3" w:rsidRPr="00911CDB" w:rsidRDefault="00623AA3" w:rsidP="00312E4C">
      <w:pPr>
        <w:rPr>
          <w:b/>
          <w:color w:val="244061" w:themeColor="accent1" w:themeShade="80"/>
          <w:sz w:val="24"/>
          <w:szCs w:val="24"/>
        </w:rPr>
      </w:pPr>
      <w:r w:rsidRPr="00911CDB">
        <w:rPr>
          <w:b/>
          <w:color w:val="244061" w:themeColor="accent1" w:themeShade="80"/>
          <w:sz w:val="24"/>
          <w:szCs w:val="24"/>
        </w:rPr>
        <w:t>Financement de la thèse</w:t>
      </w:r>
      <w:r w:rsidR="00F1260C">
        <w:rPr>
          <w:b/>
          <w:color w:val="244061" w:themeColor="accent1" w:themeShade="80"/>
          <w:sz w:val="24"/>
          <w:szCs w:val="24"/>
        </w:rPr>
        <w:t> : Nesma Trading Co. Ltd</w:t>
      </w:r>
    </w:p>
    <w:p w:rsidR="002E3637" w:rsidRPr="00911CDB" w:rsidRDefault="002E3637" w:rsidP="00312E4C">
      <w:pPr>
        <w:rPr>
          <w:color w:val="244061" w:themeColor="accent1" w:themeShade="80"/>
          <w:sz w:val="24"/>
          <w:szCs w:val="24"/>
        </w:rPr>
      </w:pPr>
      <w:r w:rsidRPr="00911CDB">
        <w:rPr>
          <w:b/>
          <w:color w:val="244061" w:themeColor="accent1" w:themeShade="80"/>
          <w:sz w:val="24"/>
          <w:szCs w:val="24"/>
        </w:rPr>
        <w:t>Date d’inscription en thèse</w:t>
      </w:r>
      <w:r w:rsidR="00F1260C">
        <w:rPr>
          <w:b/>
          <w:color w:val="244061" w:themeColor="accent1" w:themeShade="80"/>
          <w:sz w:val="24"/>
          <w:szCs w:val="24"/>
        </w:rPr>
        <w:t> : Novembre 2016</w:t>
      </w:r>
    </w:p>
    <w:p w:rsidR="00312E4C" w:rsidRPr="00911CDB" w:rsidRDefault="00F73FBD" w:rsidP="00312E4C">
      <w:pPr>
        <w:rPr>
          <w:b/>
          <w:color w:val="244061" w:themeColor="accent1" w:themeShade="80"/>
          <w:sz w:val="24"/>
          <w:szCs w:val="24"/>
        </w:rPr>
      </w:pPr>
      <w:r w:rsidRPr="00911CDB">
        <w:rPr>
          <w:b/>
          <w:color w:val="244061" w:themeColor="accent1" w:themeShade="80"/>
          <w:sz w:val="24"/>
          <w:szCs w:val="24"/>
        </w:rPr>
        <w:t>Organismes et adresses (mai</w:t>
      </w:r>
      <w:r w:rsidR="00312E4C" w:rsidRPr="00911CDB">
        <w:rPr>
          <w:b/>
          <w:color w:val="244061" w:themeColor="accent1" w:themeShade="80"/>
          <w:sz w:val="24"/>
          <w:szCs w:val="24"/>
        </w:rPr>
        <w:t>ls)</w:t>
      </w:r>
      <w:r w:rsidR="00F1260C">
        <w:rPr>
          <w:b/>
          <w:color w:val="244061" w:themeColor="accent1" w:themeShade="80"/>
          <w:sz w:val="24"/>
          <w:szCs w:val="24"/>
        </w:rPr>
        <w:t> : Université de Lille, Sciences et technologies, ED SESAM, Laboratoire TVES, mail personnel : Nadine.fayad42@gmail.com</w:t>
      </w:r>
    </w:p>
    <w:p w:rsidR="00312E4C" w:rsidRPr="00911CDB" w:rsidRDefault="00312E4C" w:rsidP="00312E4C"/>
    <w:p w:rsidR="00F73FBD" w:rsidRPr="00911CDB" w:rsidRDefault="00F73FBD" w:rsidP="00312E4C">
      <w:pPr>
        <w:rPr>
          <w:color w:val="244061" w:themeColor="accent1" w:themeShade="80"/>
          <w:sz w:val="28"/>
          <w:szCs w:val="28"/>
        </w:rPr>
      </w:pPr>
      <w:r w:rsidRPr="00911CDB">
        <w:rPr>
          <w:b/>
          <w:color w:val="244061" w:themeColor="accent1" w:themeShade="80"/>
          <w:sz w:val="28"/>
          <w:szCs w:val="28"/>
        </w:rPr>
        <w:t>Format de présentation</w:t>
      </w:r>
    </w:p>
    <w:p w:rsidR="00312E4C" w:rsidRPr="00911CDB" w:rsidRDefault="00F26129" w:rsidP="00F73FBD">
      <w:pPr>
        <w:tabs>
          <w:tab w:val="left" w:pos="735"/>
        </w:tabs>
        <w:spacing w:after="0"/>
        <w:ind w:left="708"/>
      </w:pPr>
      <w:sdt>
        <w:sdtPr>
          <w:id w:val="28138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B8C" w:rsidRPr="00911CDB">
            <w:rPr>
              <w:rFonts w:ascii="MS Gothic" w:eastAsia="MS Gothic" w:hAnsi="MS Gothic" w:cs="MS Gothic" w:hint="eastAsia"/>
            </w:rPr>
            <w:t>☐</w:t>
          </w:r>
        </w:sdtContent>
      </w:sdt>
      <w:r w:rsidR="00F73FBD" w:rsidRPr="00911CDB">
        <w:tab/>
        <w:t>Communication orale (15 minutes)</w:t>
      </w:r>
    </w:p>
    <w:p w:rsidR="00F73FBD" w:rsidRPr="00911CDB" w:rsidRDefault="00F26129" w:rsidP="00F73FBD">
      <w:pPr>
        <w:tabs>
          <w:tab w:val="left" w:pos="735"/>
        </w:tabs>
        <w:spacing w:after="0"/>
        <w:ind w:left="708"/>
      </w:pPr>
      <w:sdt>
        <w:sdtPr>
          <w:id w:val="19404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FBD" w:rsidRPr="00911CDB">
            <w:rPr>
              <w:rFonts w:ascii="MS Gothic" w:eastAsia="MS Gothic" w:hAnsi="MS Gothic" w:cs="MS Gothic" w:hint="eastAsia"/>
            </w:rPr>
            <w:t>☐</w:t>
          </w:r>
        </w:sdtContent>
      </w:sdt>
      <w:r w:rsidR="00F73FBD" w:rsidRPr="00911CDB">
        <w:tab/>
        <w:t xml:space="preserve">Poster </w:t>
      </w:r>
      <w:r w:rsidR="00BA43D7" w:rsidRPr="00872D90">
        <w:t>(format A0)</w:t>
      </w:r>
    </w:p>
    <w:p w:rsidR="00F73FBD" w:rsidRPr="00911CDB" w:rsidRDefault="00F26129" w:rsidP="00F73FBD">
      <w:pPr>
        <w:tabs>
          <w:tab w:val="left" w:pos="735"/>
        </w:tabs>
        <w:spacing w:after="0"/>
        <w:ind w:left="708"/>
      </w:pPr>
      <w:sdt>
        <w:sdtPr>
          <w:id w:val="15847987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260C">
            <w:rPr>
              <w:rFonts w:ascii="MS Gothic" w:eastAsia="MS Gothic" w:hAnsi="MS Gothic" w:hint="eastAsia"/>
            </w:rPr>
            <w:t>☒</w:t>
          </w:r>
        </w:sdtContent>
      </w:sdt>
      <w:r w:rsidR="00F73FBD" w:rsidRPr="00911CDB">
        <w:tab/>
      </w:r>
      <w:r w:rsidR="00915C4A" w:rsidRPr="00911CDB">
        <w:t>« M</w:t>
      </w:r>
      <w:r w:rsidR="00F73FBD" w:rsidRPr="00911CDB">
        <w:t>a thèse en trois images </w:t>
      </w:r>
      <w:r w:rsidR="00780C6A" w:rsidRPr="00911CDB">
        <w:t xml:space="preserve"> et 180 secondes </w:t>
      </w:r>
      <w:r w:rsidR="00F73FBD" w:rsidRPr="00911CDB">
        <w:t>» (</w:t>
      </w:r>
      <w:r w:rsidR="00915C4A" w:rsidRPr="00911CDB">
        <w:t>3 minutes)</w:t>
      </w:r>
    </w:p>
    <w:p w:rsidR="00312E4C" w:rsidRPr="00911CDB" w:rsidRDefault="00312E4C" w:rsidP="00312E4C"/>
    <w:p w:rsidR="00312E4C" w:rsidRPr="00911CDB" w:rsidRDefault="00312E4C" w:rsidP="00312E4C">
      <w:pPr>
        <w:rPr>
          <w:b/>
          <w:color w:val="244061" w:themeColor="accent1" w:themeShade="80"/>
          <w:sz w:val="28"/>
          <w:szCs w:val="28"/>
        </w:rPr>
      </w:pPr>
      <w:r w:rsidRPr="00911CDB">
        <w:rPr>
          <w:b/>
          <w:color w:val="244061" w:themeColor="accent1" w:themeShade="80"/>
          <w:sz w:val="28"/>
          <w:szCs w:val="28"/>
        </w:rPr>
        <w:t>R</w:t>
      </w:r>
      <w:r w:rsidR="00BA43D7" w:rsidRPr="00911CDB">
        <w:rPr>
          <w:b/>
          <w:color w:val="244061" w:themeColor="accent1" w:themeShade="80"/>
          <w:sz w:val="28"/>
          <w:szCs w:val="28"/>
        </w:rPr>
        <w:t>ésumé</w:t>
      </w:r>
    </w:p>
    <w:p w:rsidR="00F1260C" w:rsidRPr="003F4277" w:rsidRDefault="00F1260C" w:rsidP="00F1260C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1B2E2D">
        <w:rPr>
          <w:rFonts w:cs="SlimbachITC-Book"/>
        </w:rPr>
        <w:t>Quoiqu'il</w:t>
      </w:r>
      <w:r>
        <w:rPr>
          <w:rFonts w:cs="SlimbachITC-Book"/>
        </w:rPr>
        <w:t xml:space="preserve"> soit</w:t>
      </w:r>
      <w:r w:rsidRPr="003F4277">
        <w:rPr>
          <w:rFonts w:cs="SlimbachITC-Book"/>
        </w:rPr>
        <w:t xml:space="preserve"> une véritable catastrophe écologique, l’</w:t>
      </w:r>
      <w:r>
        <w:rPr>
          <w:rFonts w:cs="SlimbachITC-Book"/>
        </w:rPr>
        <w:t xml:space="preserve">espace fluvial du </w:t>
      </w:r>
      <w:r w:rsidRPr="00710E19">
        <w:rPr>
          <w:rFonts w:cs="SlimbachITC-Book"/>
        </w:rPr>
        <w:t>fleuve</w:t>
      </w:r>
      <w:r w:rsidRPr="000E5D8E">
        <w:rPr>
          <w:rFonts w:cs="SlimbachITC-Book"/>
          <w:i/>
          <w:iCs/>
        </w:rPr>
        <w:t xml:space="preserve"> </w:t>
      </w:r>
      <w:r w:rsidRPr="00710E19">
        <w:rPr>
          <w:rFonts w:cs="SlimbachITC-Book"/>
        </w:rPr>
        <w:t>de</w:t>
      </w:r>
      <w:r w:rsidRPr="000E5D8E">
        <w:rPr>
          <w:rFonts w:cs="SlimbachITC-Book"/>
          <w:i/>
          <w:iCs/>
        </w:rPr>
        <w:t xml:space="preserve"> </w:t>
      </w:r>
      <w:r w:rsidRPr="00710E19">
        <w:rPr>
          <w:rFonts w:cs="SlimbachITC-Book"/>
        </w:rPr>
        <w:t xml:space="preserve">Beyrouth </w:t>
      </w:r>
      <w:r w:rsidRPr="003F4277">
        <w:rPr>
          <w:rFonts w:cs="SlimbachITC-Book"/>
        </w:rPr>
        <w:t xml:space="preserve"> porte toujours des valeurs </w:t>
      </w:r>
      <w:r>
        <w:rPr>
          <w:rFonts w:cs="SlimbachITC-Book"/>
        </w:rPr>
        <w:t xml:space="preserve">diverses et </w:t>
      </w:r>
      <w:r w:rsidRPr="003F4277">
        <w:rPr>
          <w:rFonts w:cs="SlimbachITC-Book"/>
        </w:rPr>
        <w:t xml:space="preserve">spécifiques à l’agglomération Beyrouthine. Dans ce travail de recherche, on </w:t>
      </w:r>
      <w:r>
        <w:rPr>
          <w:rFonts w:cs="SlimbachITC-Book"/>
        </w:rPr>
        <w:t>investigue</w:t>
      </w:r>
      <w:r w:rsidRPr="003F4277">
        <w:rPr>
          <w:rFonts w:cs="SlimbachITC-Book"/>
        </w:rPr>
        <w:t xml:space="preserve"> l</w:t>
      </w:r>
      <w:r>
        <w:rPr>
          <w:rFonts w:cs="SlimbachITC-Book"/>
        </w:rPr>
        <w:t>es</w:t>
      </w:r>
      <w:r w:rsidRPr="003F4277">
        <w:rPr>
          <w:rFonts w:cs="SlimbachITC-Book"/>
        </w:rPr>
        <w:t xml:space="preserve"> place</w:t>
      </w:r>
      <w:r>
        <w:rPr>
          <w:rFonts w:cs="SlimbachITC-Book"/>
        </w:rPr>
        <w:t>s</w:t>
      </w:r>
      <w:r w:rsidRPr="003F4277">
        <w:rPr>
          <w:rFonts w:cs="SlimbachITC-Book"/>
        </w:rPr>
        <w:t xml:space="preserve"> que prend le fleuve </w:t>
      </w:r>
      <w:r w:rsidRPr="00710E19">
        <w:rPr>
          <w:rFonts w:cs="SlimbachITC-Book"/>
          <w:i/>
          <w:iCs/>
        </w:rPr>
        <w:t>Nahr Beyrouth</w:t>
      </w:r>
      <w:r>
        <w:rPr>
          <w:rFonts w:cs="SlimbachITC-Book"/>
        </w:rPr>
        <w:t>, cet espace-ressource,</w:t>
      </w:r>
      <w:r w:rsidRPr="003F4277">
        <w:rPr>
          <w:rFonts w:cs="SlimbachITC-Book"/>
        </w:rPr>
        <w:t xml:space="preserve"> </w:t>
      </w:r>
      <w:r>
        <w:rPr>
          <w:rFonts w:cs="SlimbachITC-Book"/>
        </w:rPr>
        <w:t>dans une ville fragile. Deux sous-questions de recherche sont posées:</w:t>
      </w:r>
      <w:r w:rsidRPr="003F4277">
        <w:rPr>
          <w:rFonts w:cs="SlimbachITC-Book"/>
        </w:rPr>
        <w:t xml:space="preserve"> </w:t>
      </w:r>
      <w:r>
        <w:rPr>
          <w:rFonts w:cs="Georgia"/>
        </w:rPr>
        <w:t>q</w:t>
      </w:r>
      <w:r w:rsidRPr="003F4277">
        <w:rPr>
          <w:rFonts w:cs="Georgia"/>
        </w:rPr>
        <w:t xml:space="preserve">uel rapport tient </w:t>
      </w:r>
      <w:r>
        <w:rPr>
          <w:rFonts w:cs="Georgia"/>
        </w:rPr>
        <w:t xml:space="preserve">le fleuve </w:t>
      </w:r>
      <w:r w:rsidRPr="000E5D8E">
        <w:rPr>
          <w:rFonts w:cs="Georgia"/>
          <w:i/>
          <w:iCs/>
        </w:rPr>
        <w:t>Nahr Beyrouth</w:t>
      </w:r>
      <w:r w:rsidRPr="003F4277">
        <w:rPr>
          <w:rFonts w:cs="Georgia"/>
        </w:rPr>
        <w:t xml:space="preserve"> avec la ville de Beyrouth ?et qu’</w:t>
      </w:r>
      <w:r>
        <w:rPr>
          <w:rFonts w:cs="Georgia"/>
        </w:rPr>
        <w:t xml:space="preserve">est-ce </w:t>
      </w:r>
      <w:r w:rsidRPr="003F4277">
        <w:rPr>
          <w:rFonts w:cs="Georgia"/>
        </w:rPr>
        <w:t xml:space="preserve">qui fait de </w:t>
      </w:r>
      <w:r w:rsidRPr="000E5D8E">
        <w:rPr>
          <w:rFonts w:cs="Georgia"/>
          <w:i/>
          <w:iCs/>
        </w:rPr>
        <w:t>Nahr Beyrouth</w:t>
      </w:r>
      <w:r w:rsidRPr="003F4277">
        <w:rPr>
          <w:rFonts w:cs="Georgia"/>
        </w:rPr>
        <w:t xml:space="preserve"> </w:t>
      </w:r>
      <w:r>
        <w:rPr>
          <w:rFonts w:cs="Georgia"/>
        </w:rPr>
        <w:t>‘’</w:t>
      </w:r>
      <w:r w:rsidRPr="000E5D8E">
        <w:rPr>
          <w:rFonts w:cs="Georgia"/>
        </w:rPr>
        <w:t>un espace-ressource</w:t>
      </w:r>
      <w:r>
        <w:rPr>
          <w:rFonts w:cs="Georgia"/>
        </w:rPr>
        <w:t>’’</w:t>
      </w:r>
      <w:r w:rsidRPr="003F4277">
        <w:rPr>
          <w:rFonts w:cs="Georgia"/>
        </w:rPr>
        <w:t> ?</w:t>
      </w:r>
    </w:p>
    <w:p w:rsidR="00F1260C" w:rsidRPr="003F4277" w:rsidRDefault="00F1260C" w:rsidP="00541AAF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3F4277">
        <w:rPr>
          <w:rFonts w:cs="Georgia"/>
        </w:rPr>
        <w:t>Notre recherche est élaborée autour de trois hypothèse</w:t>
      </w:r>
      <w:r>
        <w:rPr>
          <w:rFonts w:cs="Georgia"/>
        </w:rPr>
        <w:t>s</w:t>
      </w:r>
      <w:r w:rsidR="000269FB">
        <w:rPr>
          <w:rFonts w:cs="Georgia"/>
        </w:rPr>
        <w:t> :</w:t>
      </w:r>
      <w:r w:rsidRPr="003F4277">
        <w:rPr>
          <w:rFonts w:cs="Georgia"/>
        </w:rPr>
        <w:t>, le fleuve comme symptôme, où son urbanité l</w:t>
      </w:r>
      <w:r w:rsidR="001D6E44">
        <w:rPr>
          <w:rFonts w:cs="Georgia"/>
        </w:rPr>
        <w:t>e</w:t>
      </w:r>
      <w:r w:rsidRPr="003F4277">
        <w:rPr>
          <w:rFonts w:cs="Georgia"/>
        </w:rPr>
        <w:t xml:space="preserve"> caractérise  comme ‘’ressource sociale’’</w:t>
      </w:r>
      <w:r w:rsidR="000269FB">
        <w:rPr>
          <w:rFonts w:cs="Georgia"/>
        </w:rPr>
        <w:t xml:space="preserve">, </w:t>
      </w:r>
      <w:r w:rsidRPr="003F4277">
        <w:rPr>
          <w:rFonts w:cs="Georgia"/>
        </w:rPr>
        <w:t xml:space="preserve"> le fleuve comme système, où son métabolisme urbain l</w:t>
      </w:r>
      <w:r w:rsidR="001D6E44">
        <w:rPr>
          <w:rFonts w:cs="Georgia"/>
        </w:rPr>
        <w:t>e</w:t>
      </w:r>
      <w:r w:rsidRPr="003F4277">
        <w:rPr>
          <w:rFonts w:cs="Georgia"/>
        </w:rPr>
        <w:t xml:space="preserve"> caractérise comme ‘’ressource naturelle’’</w:t>
      </w:r>
      <w:r w:rsidR="000269FB">
        <w:rPr>
          <w:rFonts w:cs="Georgia"/>
        </w:rPr>
        <w:t xml:space="preserve"> et </w:t>
      </w:r>
      <w:r w:rsidR="000269FB" w:rsidRPr="003F4277">
        <w:rPr>
          <w:rFonts w:cs="Georgia"/>
        </w:rPr>
        <w:t>le fleuve comme projet où sa localisation l</w:t>
      </w:r>
      <w:r w:rsidR="001D6E44">
        <w:rPr>
          <w:rFonts w:cs="Georgia"/>
        </w:rPr>
        <w:t>e</w:t>
      </w:r>
      <w:bookmarkStart w:id="0" w:name="_GoBack"/>
      <w:bookmarkEnd w:id="0"/>
      <w:r w:rsidR="000269FB" w:rsidRPr="003F4277">
        <w:rPr>
          <w:rFonts w:cs="Georgia"/>
        </w:rPr>
        <w:t xml:space="preserve"> caractérise comme ‘’ressource urbaine’’</w:t>
      </w:r>
      <w:r w:rsidRPr="003F4277">
        <w:rPr>
          <w:rFonts w:cs="Georgia"/>
        </w:rPr>
        <w:t xml:space="preserve">. </w:t>
      </w:r>
      <w:r>
        <w:rPr>
          <w:rFonts w:cs="Georgia"/>
        </w:rPr>
        <w:t xml:space="preserve"> Notre travail s’appuie sur une revue de littérature sur l’interface de la re</w:t>
      </w:r>
      <w:r w:rsidR="00410330">
        <w:rPr>
          <w:rFonts w:cs="Georgia"/>
        </w:rPr>
        <w:t>lation ville et espace fluvial</w:t>
      </w:r>
      <w:r>
        <w:rPr>
          <w:rFonts w:cs="Georgia"/>
        </w:rPr>
        <w:t>, sur un travail d’enquête ainsi qu’un travail cartographique</w:t>
      </w:r>
      <w:r w:rsidR="00FF1DF9">
        <w:rPr>
          <w:rFonts w:cs="Georgia"/>
        </w:rPr>
        <w:t xml:space="preserve"> analysant la morphologie urbaine de Beyrouth</w:t>
      </w:r>
      <w:r>
        <w:rPr>
          <w:rFonts w:cs="Georgia"/>
        </w:rPr>
        <w:t xml:space="preserve">. </w:t>
      </w:r>
      <w:r w:rsidRPr="003F4277">
        <w:rPr>
          <w:rFonts w:cs="Georgia"/>
        </w:rPr>
        <w:t xml:space="preserve">On </w:t>
      </w:r>
      <w:r>
        <w:rPr>
          <w:rFonts w:cs="Georgia"/>
        </w:rPr>
        <w:t>décline</w:t>
      </w:r>
      <w:r w:rsidRPr="003F4277">
        <w:rPr>
          <w:rFonts w:cs="Georgia"/>
        </w:rPr>
        <w:t xml:space="preserve"> </w:t>
      </w:r>
      <w:r w:rsidRPr="003F4277">
        <w:rPr>
          <w:rFonts w:cs="Georgia"/>
        </w:rPr>
        <w:lastRenderedPageBreak/>
        <w:t xml:space="preserve">l’investigation </w:t>
      </w:r>
      <w:r>
        <w:rPr>
          <w:rFonts w:cs="Georgia"/>
        </w:rPr>
        <w:t xml:space="preserve">de cet espace fluvial </w:t>
      </w:r>
      <w:r w:rsidRPr="003F4277">
        <w:rPr>
          <w:rFonts w:cs="Georgia"/>
        </w:rPr>
        <w:t>selon quatre temporalités : le temps des Romains, le XIX</w:t>
      </w:r>
      <w:r w:rsidRPr="003F4277">
        <w:rPr>
          <w:rFonts w:cs="Georgia"/>
          <w:vertAlign w:val="superscript"/>
        </w:rPr>
        <w:t>e</w:t>
      </w:r>
      <w:r w:rsidRPr="003F4277">
        <w:rPr>
          <w:rFonts w:cs="Georgia"/>
        </w:rPr>
        <w:t>, XX</w:t>
      </w:r>
      <w:r w:rsidRPr="003F4277">
        <w:rPr>
          <w:rFonts w:cs="Georgia"/>
          <w:vertAlign w:val="superscript"/>
        </w:rPr>
        <w:t>e</w:t>
      </w:r>
      <w:r w:rsidRPr="003F4277">
        <w:rPr>
          <w:rFonts w:cs="Georgia"/>
        </w:rPr>
        <w:t xml:space="preserve"> et le XXI</w:t>
      </w:r>
      <w:r w:rsidRPr="003F4277">
        <w:rPr>
          <w:rFonts w:cs="Georgia"/>
          <w:vertAlign w:val="superscript"/>
        </w:rPr>
        <w:t>e</w:t>
      </w:r>
      <w:r>
        <w:rPr>
          <w:rFonts w:cs="Georgia"/>
          <w:vertAlign w:val="superscript"/>
        </w:rPr>
        <w:t xml:space="preserve"> </w:t>
      </w:r>
      <w:r w:rsidRPr="00CC4DEE">
        <w:rPr>
          <w:rFonts w:cs="Georgia"/>
        </w:rPr>
        <w:t>siècle</w:t>
      </w:r>
      <w:r>
        <w:rPr>
          <w:rFonts w:cs="Georgia"/>
        </w:rPr>
        <w:t>s</w:t>
      </w:r>
      <w:r w:rsidRPr="003F4277">
        <w:rPr>
          <w:rFonts w:cs="Georgia"/>
        </w:rPr>
        <w:t xml:space="preserve">. </w:t>
      </w:r>
    </w:p>
    <w:p w:rsidR="00312E4C" w:rsidRPr="00911CDB" w:rsidRDefault="00312E4C" w:rsidP="00312E4C"/>
    <w:p w:rsidR="00312E4C" w:rsidRPr="00911CDB" w:rsidRDefault="00312E4C" w:rsidP="00410330">
      <w:pPr>
        <w:tabs>
          <w:tab w:val="left" w:pos="8040"/>
        </w:tabs>
        <w:rPr>
          <w:b/>
          <w:color w:val="244061" w:themeColor="accent1" w:themeShade="80"/>
          <w:sz w:val="28"/>
          <w:szCs w:val="28"/>
        </w:rPr>
      </w:pPr>
      <w:r w:rsidRPr="00911CDB">
        <w:rPr>
          <w:b/>
          <w:color w:val="244061" w:themeColor="accent1" w:themeShade="80"/>
          <w:sz w:val="28"/>
          <w:szCs w:val="28"/>
        </w:rPr>
        <w:t>M</w:t>
      </w:r>
      <w:r w:rsidR="00BA43D7" w:rsidRPr="00911CDB">
        <w:rPr>
          <w:b/>
          <w:color w:val="244061" w:themeColor="accent1" w:themeShade="80"/>
          <w:sz w:val="28"/>
          <w:szCs w:val="28"/>
        </w:rPr>
        <w:t>ots-</w:t>
      </w:r>
      <w:r w:rsidRPr="00911CDB">
        <w:rPr>
          <w:b/>
          <w:color w:val="244061" w:themeColor="accent1" w:themeShade="80"/>
          <w:sz w:val="28"/>
          <w:szCs w:val="28"/>
        </w:rPr>
        <w:t>C</w:t>
      </w:r>
      <w:r w:rsidR="00BA43D7" w:rsidRPr="00911CDB">
        <w:rPr>
          <w:b/>
          <w:color w:val="244061" w:themeColor="accent1" w:themeShade="80"/>
          <w:sz w:val="28"/>
          <w:szCs w:val="28"/>
        </w:rPr>
        <w:t>lés</w:t>
      </w:r>
      <w:r w:rsidR="00410330">
        <w:rPr>
          <w:b/>
          <w:color w:val="244061" w:themeColor="accent1" w:themeShade="80"/>
          <w:sz w:val="28"/>
          <w:szCs w:val="28"/>
        </w:rPr>
        <w:tab/>
      </w:r>
    </w:p>
    <w:p w:rsidR="00312E4C" w:rsidRPr="00911CDB" w:rsidRDefault="00F1260C" w:rsidP="00FF1DF9">
      <w:r>
        <w:t xml:space="preserve">Espace; ville/fleuve; ressource; Nahr Beyrouth ; </w:t>
      </w:r>
      <w:r w:rsidR="00FF1DF9">
        <w:t>morphologie urbaine de Beyrouth.</w:t>
      </w:r>
    </w:p>
    <w:p w:rsidR="001E66D7" w:rsidRPr="00911CDB" w:rsidRDefault="001E66D7" w:rsidP="00312E4C"/>
    <w:p w:rsidR="00D43DEC" w:rsidRPr="00911CDB" w:rsidRDefault="00D43DEC" w:rsidP="00D43DEC">
      <w:pPr>
        <w:pageBreakBefore/>
        <w:spacing w:before="480"/>
        <w:rPr>
          <w:i/>
          <w:color w:val="FF0000"/>
          <w:sz w:val="28"/>
          <w:szCs w:val="28"/>
        </w:rPr>
      </w:pPr>
      <w:r w:rsidRPr="00911CDB">
        <w:rPr>
          <w:i/>
          <w:color w:val="FF0000"/>
          <w:sz w:val="28"/>
          <w:szCs w:val="28"/>
        </w:rPr>
        <w:lastRenderedPageBreak/>
        <w:t>Pour les communications orales (15 minutes)</w:t>
      </w:r>
      <w:r w:rsidR="00780C6A" w:rsidRPr="00911CDB">
        <w:rPr>
          <w:i/>
          <w:color w:val="FF0000"/>
          <w:sz w:val="28"/>
          <w:szCs w:val="28"/>
        </w:rPr>
        <w:t xml:space="preserve"> 4 pages </w:t>
      </w:r>
    </w:p>
    <w:p w:rsidR="00F73FBD" w:rsidRPr="00911CDB" w:rsidRDefault="00F73FBD" w:rsidP="00D43DEC">
      <w:pPr>
        <w:pStyle w:val="Titre1"/>
        <w:spacing w:before="360"/>
        <w:ind w:left="431" w:hanging="431"/>
      </w:pPr>
      <w:r w:rsidRPr="00911CDB">
        <w:t>TITRE 1</w:t>
      </w:r>
    </w:p>
    <w:p w:rsidR="00F73FBD" w:rsidRPr="00911CDB" w:rsidRDefault="00F73FBD" w:rsidP="00F73FBD">
      <w:pPr>
        <w:pStyle w:val="Titre2"/>
      </w:pPr>
      <w:r w:rsidRPr="00911CDB">
        <w:t>Titre 1.1</w:t>
      </w:r>
    </w:p>
    <w:p w:rsidR="00F73FBD" w:rsidRPr="00911CDB" w:rsidRDefault="00F73FBD" w:rsidP="00F73FBD"/>
    <w:p w:rsidR="00F73FBD" w:rsidRPr="00911CDB" w:rsidRDefault="00F73FBD" w:rsidP="00F73FBD">
      <w:pPr>
        <w:pStyle w:val="Titre1"/>
      </w:pPr>
      <w:r w:rsidRPr="00911CDB">
        <w:t>titre 2</w:t>
      </w:r>
    </w:p>
    <w:p w:rsidR="00F73FBD" w:rsidRPr="00911CDB" w:rsidRDefault="00F73FBD" w:rsidP="00F73FBD">
      <w:pPr>
        <w:pStyle w:val="Titre2"/>
      </w:pPr>
      <w:r w:rsidRPr="00911CDB">
        <w:t>Titre 2.1</w:t>
      </w:r>
    </w:p>
    <w:p w:rsidR="00F73FBD" w:rsidRPr="00911CDB" w:rsidRDefault="00F73FBD" w:rsidP="00F73FBD"/>
    <w:p w:rsidR="00F73FBD" w:rsidRPr="00911CDB" w:rsidRDefault="00F73FBD" w:rsidP="00F73FBD">
      <w:r w:rsidRPr="00911CDB">
        <w:t>Style "normal" pour la rédaction de votre texte.</w:t>
      </w:r>
    </w:p>
    <w:p w:rsidR="00F73FBD" w:rsidRPr="00911CDB" w:rsidRDefault="00F73FBD" w:rsidP="00F73FBD">
      <w:pPr>
        <w:pStyle w:val="Normaltiret"/>
      </w:pPr>
      <w:r w:rsidRPr="00911CDB">
        <w:t>Style "Normal"</w:t>
      </w:r>
      <w:r w:rsidR="00AE44A3" w:rsidRPr="00911CDB">
        <w:t xml:space="preserve"> pour marquer les tirets</w:t>
      </w:r>
    </w:p>
    <w:p w:rsidR="00F73FBD" w:rsidRPr="00911CDB" w:rsidRDefault="00F73FBD" w:rsidP="00AE44A3">
      <w:pPr>
        <w:pStyle w:val="Normaltiret"/>
        <w:numPr>
          <w:ilvl w:val="0"/>
          <w:numId w:val="0"/>
        </w:numPr>
        <w:ind w:left="360"/>
      </w:pPr>
    </w:p>
    <w:p w:rsidR="00F73FBD" w:rsidRPr="00911CDB" w:rsidRDefault="001E66D7" w:rsidP="00F73FBD">
      <w:pPr>
        <w:pStyle w:val="Legendes"/>
      </w:pPr>
      <w:r w:rsidRPr="00911CDB">
        <w:t>Légende des</w:t>
      </w:r>
      <w:r w:rsidR="00F73FBD" w:rsidRPr="00911CDB">
        <w:t xml:space="preserve"> figures, en dessous de l'objet, centré</w:t>
      </w:r>
    </w:p>
    <w:p w:rsidR="00F73FBD" w:rsidRPr="00911CDB" w:rsidRDefault="001E66D7" w:rsidP="00F73FBD">
      <w:pPr>
        <w:pStyle w:val="Legendes"/>
      </w:pPr>
      <w:r w:rsidRPr="00911CDB">
        <w:t>Légende des</w:t>
      </w:r>
      <w:r w:rsidR="00350DF9">
        <w:t xml:space="preserve"> tableaux au-</w:t>
      </w:r>
      <w:r w:rsidR="00F73FBD" w:rsidRPr="00911CDB">
        <w:t>dessus de l'objet, centré</w:t>
      </w:r>
    </w:p>
    <w:p w:rsidR="00F73FBD" w:rsidRPr="00911CDB" w:rsidRDefault="00F73FBD" w:rsidP="00F73FBD"/>
    <w:p w:rsidR="00F73FBD" w:rsidRPr="00911CDB" w:rsidRDefault="00F73FBD" w:rsidP="001E66D7">
      <w:pPr>
        <w:pStyle w:val="Titre1"/>
        <w:numPr>
          <w:ilvl w:val="0"/>
          <w:numId w:val="0"/>
        </w:numPr>
        <w:ind w:left="432" w:hanging="432"/>
      </w:pPr>
      <w:r w:rsidRPr="00911CDB">
        <w:t>Bibliographie</w:t>
      </w:r>
    </w:p>
    <w:p w:rsidR="001E66D7" w:rsidRPr="00911CDB" w:rsidRDefault="001E66D7" w:rsidP="00F73FBD">
      <w:pPr>
        <w:ind w:left="284" w:hanging="284"/>
        <w:rPr>
          <w:rStyle w:val="Rfrenceintense"/>
          <w:lang w:val="fr-FR"/>
        </w:rPr>
      </w:pPr>
    </w:p>
    <w:p w:rsidR="001E66D7" w:rsidRPr="00911CDB" w:rsidRDefault="001E66D7" w:rsidP="00780C6A">
      <w:pPr>
        <w:ind w:left="284" w:hanging="284"/>
        <w:jc w:val="both"/>
        <w:rPr>
          <w:rStyle w:val="Rfrenceintense"/>
        </w:rPr>
      </w:pPr>
      <w:r w:rsidRPr="00E96C3B">
        <w:rPr>
          <w:rStyle w:val="Rfrenceintense"/>
          <w:lang w:val="fr-FR"/>
        </w:rPr>
        <w:t xml:space="preserve">Linton, J., Budds, J., 2014. </w:t>
      </w:r>
      <w:r w:rsidRPr="00911CDB">
        <w:rPr>
          <w:rStyle w:val="Rfrenceintense"/>
        </w:rPr>
        <w:t xml:space="preserve">The hydrosocial cycle: Defining and mobilizing a relational-dialectical approach to water, </w:t>
      </w:r>
      <w:r w:rsidRPr="00911CDB">
        <w:rPr>
          <w:rStyle w:val="Rfrenceintense"/>
          <w:i/>
        </w:rPr>
        <w:t>Geoforum</w:t>
      </w:r>
      <w:r w:rsidRPr="00911CDB">
        <w:rPr>
          <w:rStyle w:val="Rfrenceintense"/>
        </w:rPr>
        <w:t>, 57, pp. 170–180</w:t>
      </w:r>
    </w:p>
    <w:p w:rsidR="001E66D7" w:rsidRPr="00911CDB" w:rsidRDefault="001E66D7" w:rsidP="00780C6A">
      <w:pPr>
        <w:spacing w:before="60"/>
        <w:ind w:left="284" w:hanging="284"/>
        <w:jc w:val="both"/>
      </w:pPr>
      <w:r w:rsidRPr="00911CDB">
        <w:rPr>
          <w:rStyle w:val="Rfrenceintense"/>
          <w:lang w:val="fr-FR"/>
        </w:rPr>
        <w:t xml:space="preserve">Barbier, R., 2011. « La sécurisation de l’approvisionnement en eau potable : un tour d’horizon des enjeux et des leviers d’action ». In Bouleau, G., et Guérin-Schneider, L. (dir.), </w:t>
      </w:r>
      <w:r w:rsidRPr="00911CDB">
        <w:rPr>
          <w:rStyle w:val="Rfrenceintense"/>
          <w:i/>
          <w:lang w:val="fr-FR"/>
        </w:rPr>
        <w:t>Des tuyaux et des hommes. Les réseaux d’eau en France</w:t>
      </w:r>
      <w:r w:rsidRPr="00911CDB">
        <w:rPr>
          <w:rStyle w:val="Rfrenceintense"/>
          <w:lang w:val="fr-FR"/>
        </w:rPr>
        <w:t>, Quae, pp. 123-133</w:t>
      </w:r>
    </w:p>
    <w:p w:rsidR="001E66D7" w:rsidRPr="00911CDB" w:rsidRDefault="001E66D7" w:rsidP="00780C6A">
      <w:pPr>
        <w:spacing w:before="60"/>
        <w:ind w:left="284" w:hanging="284"/>
        <w:jc w:val="both"/>
        <w:rPr>
          <w:rStyle w:val="Rfrenceintense"/>
          <w:lang w:val="fr-FR"/>
        </w:rPr>
      </w:pPr>
      <w:r w:rsidRPr="00911CDB">
        <w:rPr>
          <w:rStyle w:val="Rfrenceintense"/>
          <w:lang w:val="fr-FR"/>
        </w:rPr>
        <w:t xml:space="preserve">Ghiotti, S., 2007. </w:t>
      </w:r>
      <w:r w:rsidRPr="00911CDB">
        <w:rPr>
          <w:rStyle w:val="Rfrenceintense"/>
          <w:i/>
          <w:lang w:val="fr-FR"/>
        </w:rPr>
        <w:t>Les territoires de l’eau. Gestion et développement en France</w:t>
      </w:r>
      <w:r w:rsidRPr="00911CDB">
        <w:rPr>
          <w:rStyle w:val="Rfrenceintense"/>
          <w:lang w:val="fr-FR"/>
        </w:rPr>
        <w:t>, Paris, CNRS Editions, 246 p.</w:t>
      </w:r>
    </w:p>
    <w:p w:rsidR="001E66D7" w:rsidRPr="00911CDB" w:rsidRDefault="001E66D7">
      <w:pPr>
        <w:spacing w:before="60"/>
        <w:ind w:left="284" w:hanging="284"/>
      </w:pPr>
    </w:p>
    <w:sectPr w:rsidR="001E66D7" w:rsidRPr="00911CD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129" w:rsidRDefault="00F26129" w:rsidP="00312E4C">
      <w:pPr>
        <w:spacing w:after="0" w:line="240" w:lineRule="auto"/>
      </w:pPr>
      <w:r>
        <w:separator/>
      </w:r>
    </w:p>
  </w:endnote>
  <w:endnote w:type="continuationSeparator" w:id="0">
    <w:p w:rsidR="00F26129" w:rsidRDefault="00F26129" w:rsidP="0031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limbachITC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99857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A43D7" w:rsidRDefault="00911CDB" w:rsidP="00911CDB">
            <w:pPr>
              <w:pStyle w:val="Pieddepage"/>
              <w:jc w:val="center"/>
            </w:pPr>
            <w:r>
              <w:rPr>
                <w:i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F25A3F" wp14:editId="127D17B4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5715</wp:posOffset>
                      </wp:positionV>
                      <wp:extent cx="5257800" cy="0"/>
                      <wp:effectExtent l="0" t="19050" r="0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5pt,.45pt" to="524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+av8QEAAD0EAAAOAAAAZHJzL2Uyb0RvYy54bWysU8uO2yAU3VfqPyD2jR1XaSMrziwymnbR&#10;R9THBzAYYiTgIiCx8/e9gOPptN20qhfI93XuPYfL7m4ymlyEDwpsR9ermhJhOfTKnjr6/dvDqy0l&#10;ITLbMw1WdPQqAr3bv3yxG10rGhhA98ITBLGhHV1HhxhdW1WBD8KwsAInLAYleMMimv5U9Z6NiG50&#10;1dT1m2oE3zsPXISA3vsSpPuML6Xg8bOUQUSiO4qzxXz6fD6ms9rvWHvyzA2Kz2Owf5jCMGWx6QJ1&#10;zyIjZ69+gzKKewgg44qDqUBKxUXmgGzW9S9svg7MicwFxQlukSn8P1j+6XL0RPUdbSixzOAVHcBa&#10;1E2cPek9qEiapNLoQovJB3v0sxXc0SfKk/SGSK3ce1yALALSIlPW+LpoLKZIODo3zebttsar4LdY&#10;VSASlPMhvhNgSPrpqFY20Wctu3wIEdti6i0lubUlY0dfb9eIl+wAWvUPSutspBUSB+3JheHlM86F&#10;jWU+fTYfoS/+TY1fIojYeetSSbGe0DCmLTqTCIV2/otXLcocX4REEZFeabAAPe9dumiL2alM4qRL&#10;4czgz0OXwjk/lYq82n9TvFTkzmDjUmyUBV/0e949TutZGFnybwoU3kmCR+iveSGyNLijWbn5PaVH&#10;8LOdy59e/f4HAAAA//8DAFBLAwQUAAYACAAAACEAKsL6ztoAAAAGAQAADwAAAGRycy9kb3ducmV2&#10;LnhtbEyOwU7DMBBE70j8g7VIXBB1mlYVDXEqhNIDF6QWLty28RJHxOsQ2234e5wTHJ9mNPPK3WR7&#10;cabRd44VLBcZCOLG6Y5bBe9v+/sHED4ga+wdk4If8rCrrq9KLLS78IHOx9CKNMK+QAUmhKGQ0jeG&#10;LPqFG4hT9ulGiyHh2Eo94iWN217mWbaRFjtODwYHejbUfB2jVbDyJt5Fc3hZb/gDX/exrr/zWqnb&#10;m+npEUSgKfyVYdZP6lAlp5OLrL3oFeT5cpWqCrYg5jhbbxOfZpZVKf/rV78AAAD//wMAUEsBAi0A&#10;FAAGAAgAAAAhALaDOJL+AAAA4QEAABMAAAAAAAAAAAAAAAAAAAAAAFtDb250ZW50X1R5cGVzXS54&#10;bWxQSwECLQAUAAYACAAAACEAOP0h/9YAAACUAQAACwAAAAAAAAAAAAAAAAAvAQAAX3JlbHMvLnJl&#10;bHNQSwECLQAUAAYACAAAACEA1wPmr/EBAAA9BAAADgAAAAAAAAAAAAAAAAAuAgAAZHJzL2Uyb0Rv&#10;Yy54bWxQSwECLQAUAAYACAAAACEAKsL6ztoAAAAGAQAADwAAAAAAAAAAAAAAAABLBAAAZHJzL2Rv&#10;d25yZXYueG1sUEsFBgAAAAAEAAQA8wAAAFIFAAAAAA==&#10;" strokecolor="#243f60 [1604]" strokeweight="3pt"/>
                  </w:pict>
                </mc:Fallback>
              </mc:AlternateContent>
            </w:r>
          </w:p>
          <w:p w:rsidR="00BA43D7" w:rsidRDefault="00911CDB" w:rsidP="00911CDB">
            <w:pPr>
              <w:pStyle w:val="Pieddepage"/>
              <w:tabs>
                <w:tab w:val="left" w:pos="5670"/>
              </w:tabs>
            </w:pPr>
            <w:r>
              <w:rPr>
                <w:bCs/>
                <w:szCs w:val="24"/>
              </w:rPr>
              <w:tab/>
            </w:r>
            <w:r w:rsidR="00BA43D7" w:rsidRPr="00911CDB">
              <w:rPr>
                <w:bCs/>
                <w:color w:val="244061" w:themeColor="accent1" w:themeShade="80"/>
                <w:szCs w:val="24"/>
              </w:rPr>
              <w:fldChar w:fldCharType="begin"/>
            </w:r>
            <w:r w:rsidR="00BA43D7" w:rsidRPr="00911CDB">
              <w:rPr>
                <w:bCs/>
                <w:color w:val="244061" w:themeColor="accent1" w:themeShade="80"/>
              </w:rPr>
              <w:instrText>PAGE</w:instrText>
            </w:r>
            <w:r w:rsidR="00BA43D7" w:rsidRPr="00911CDB">
              <w:rPr>
                <w:bCs/>
                <w:color w:val="244061" w:themeColor="accent1" w:themeShade="80"/>
                <w:szCs w:val="24"/>
              </w:rPr>
              <w:fldChar w:fldCharType="separate"/>
            </w:r>
            <w:r w:rsidR="001D6E44">
              <w:rPr>
                <w:bCs/>
                <w:noProof/>
                <w:color w:val="244061" w:themeColor="accent1" w:themeShade="80"/>
              </w:rPr>
              <w:t>2</w:t>
            </w:r>
            <w:r w:rsidR="00BA43D7" w:rsidRPr="00911CDB">
              <w:rPr>
                <w:bCs/>
                <w:color w:val="244061" w:themeColor="accent1" w:themeShade="80"/>
                <w:szCs w:val="24"/>
              </w:rPr>
              <w:fldChar w:fldCharType="end"/>
            </w:r>
            <w:r w:rsidR="00BA43D7" w:rsidRPr="00911CDB">
              <w:rPr>
                <w:color w:val="244061" w:themeColor="accent1" w:themeShade="80"/>
              </w:rPr>
              <w:t xml:space="preserve"> / </w:t>
            </w:r>
            <w:r w:rsidR="00BA43D7" w:rsidRPr="00911CDB">
              <w:rPr>
                <w:bCs/>
                <w:color w:val="244061" w:themeColor="accent1" w:themeShade="80"/>
                <w:szCs w:val="24"/>
              </w:rPr>
              <w:fldChar w:fldCharType="begin"/>
            </w:r>
            <w:r w:rsidR="00BA43D7" w:rsidRPr="00911CDB">
              <w:rPr>
                <w:bCs/>
                <w:color w:val="244061" w:themeColor="accent1" w:themeShade="80"/>
              </w:rPr>
              <w:instrText>NUMPAGES</w:instrText>
            </w:r>
            <w:r w:rsidR="00BA43D7" w:rsidRPr="00911CDB">
              <w:rPr>
                <w:bCs/>
                <w:color w:val="244061" w:themeColor="accent1" w:themeShade="80"/>
                <w:szCs w:val="24"/>
              </w:rPr>
              <w:fldChar w:fldCharType="separate"/>
            </w:r>
            <w:r w:rsidR="001D6E44">
              <w:rPr>
                <w:bCs/>
                <w:noProof/>
                <w:color w:val="244061" w:themeColor="accent1" w:themeShade="80"/>
              </w:rPr>
              <w:t>3</w:t>
            </w:r>
            <w:r w:rsidR="00BA43D7" w:rsidRPr="00911CDB">
              <w:rPr>
                <w:bCs/>
                <w:color w:val="244061" w:themeColor="accent1" w:themeShade="80"/>
                <w:szCs w:val="24"/>
              </w:rPr>
              <w:fldChar w:fldCharType="end"/>
            </w:r>
            <w:r>
              <w:rPr>
                <w:bCs/>
                <w:szCs w:val="24"/>
              </w:rPr>
              <w:tab/>
            </w:r>
          </w:p>
        </w:sdtContent>
      </w:sdt>
    </w:sdtContent>
  </w:sdt>
  <w:p w:rsidR="00BA43D7" w:rsidRDefault="00BA43D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129" w:rsidRDefault="00F26129" w:rsidP="00312E4C">
      <w:pPr>
        <w:spacing w:after="0" w:line="240" w:lineRule="auto"/>
      </w:pPr>
      <w:r>
        <w:separator/>
      </w:r>
    </w:p>
  </w:footnote>
  <w:footnote w:type="continuationSeparator" w:id="0">
    <w:p w:rsidR="00F26129" w:rsidRDefault="00F26129" w:rsidP="00312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E4C" w:rsidRPr="00911CDB" w:rsidRDefault="001E66D7" w:rsidP="00911CDB">
    <w:pPr>
      <w:pStyle w:val="En-tte"/>
      <w:spacing w:line="300" w:lineRule="auto"/>
      <w:jc w:val="right"/>
      <w:rPr>
        <w:b/>
        <w:color w:val="244061" w:themeColor="accent1" w:themeShade="80"/>
        <w:szCs w:val="24"/>
      </w:rPr>
    </w:pPr>
    <w:r w:rsidRPr="00911CDB">
      <w:rPr>
        <w:b/>
        <w:color w:val="244061" w:themeColor="accent1" w:themeShade="80"/>
        <w:szCs w:val="24"/>
      </w:rPr>
      <w:t>Doctoriales en Sciences Sociales de l’eau</w:t>
    </w:r>
  </w:p>
  <w:p w:rsidR="001E66D7" w:rsidRPr="00911CDB" w:rsidRDefault="00911CDB" w:rsidP="00911CDB">
    <w:pPr>
      <w:pStyle w:val="En-tte"/>
      <w:tabs>
        <w:tab w:val="left" w:pos="1935"/>
      </w:tabs>
      <w:spacing w:line="300" w:lineRule="auto"/>
      <w:rPr>
        <w:color w:val="244061" w:themeColor="accent1" w:themeShade="80"/>
        <w:szCs w:val="24"/>
      </w:rPr>
    </w:pPr>
    <w:r>
      <w:rPr>
        <w:color w:val="244061" w:themeColor="accent1" w:themeShade="80"/>
        <w:szCs w:val="24"/>
      </w:rPr>
      <w:tab/>
    </w:r>
    <w:r>
      <w:rPr>
        <w:color w:val="244061" w:themeColor="accent1" w:themeShade="80"/>
        <w:szCs w:val="24"/>
      </w:rPr>
      <w:tab/>
    </w:r>
    <w:r>
      <w:rPr>
        <w:color w:val="244061" w:themeColor="accent1" w:themeShade="80"/>
        <w:szCs w:val="24"/>
      </w:rPr>
      <w:tab/>
    </w:r>
    <w:r w:rsidRPr="00911CDB">
      <w:rPr>
        <w:color w:val="244061" w:themeColor="accent1" w:themeShade="80"/>
        <w:szCs w:val="24"/>
      </w:rPr>
      <w:t xml:space="preserve">ENS de </w:t>
    </w:r>
    <w:r w:rsidR="001E66D7" w:rsidRPr="00911CDB">
      <w:rPr>
        <w:color w:val="244061" w:themeColor="accent1" w:themeShade="80"/>
        <w:szCs w:val="24"/>
      </w:rPr>
      <w:t xml:space="preserve">Lyon – </w:t>
    </w:r>
    <w:r w:rsidRPr="00911CDB">
      <w:rPr>
        <w:color w:val="244061" w:themeColor="accent1" w:themeShade="80"/>
        <w:szCs w:val="24"/>
      </w:rPr>
      <w:t xml:space="preserve">5-6 septembre </w:t>
    </w:r>
    <w:r w:rsidR="001E66D7" w:rsidRPr="00911CDB">
      <w:rPr>
        <w:color w:val="244061" w:themeColor="accent1" w:themeShade="80"/>
        <w:szCs w:val="24"/>
      </w:rPr>
      <w:t>2019</w:t>
    </w:r>
  </w:p>
  <w:p w:rsidR="001E66D7" w:rsidRPr="001E66D7" w:rsidRDefault="00911CDB" w:rsidP="00911CDB">
    <w:pPr>
      <w:pStyle w:val="En-tte"/>
      <w:jc w:val="center"/>
      <w:rPr>
        <w:i/>
        <w:szCs w:val="24"/>
      </w:rPr>
    </w:pPr>
    <w:r>
      <w:rPr>
        <w:i/>
        <w:noProof/>
        <w:szCs w:val="2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A8C0F" wp14:editId="786C0E50">
              <wp:simplePos x="0" y="0"/>
              <wp:positionH relativeFrom="column">
                <wp:posOffset>-909320</wp:posOffset>
              </wp:positionH>
              <wp:positionV relativeFrom="paragraph">
                <wp:posOffset>141605</wp:posOffset>
              </wp:positionV>
              <wp:extent cx="5257800" cy="0"/>
              <wp:effectExtent l="0" t="19050" r="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2578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cteur droit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11.15pt" to="342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nDr8QEAAD0EAAAOAAAAZHJzL2Uyb0RvYy54bWysU02PGyEMvVfqf0Dcm5mkShuNMtlDVtse&#10;+hH14wewjEmQACMgmeTf10Ay2217adU5oLGxn/2ezfrubA07QYgaXc/ns5YzcBIH7fY9//7t4dWK&#10;s5iEG4RBBz2/QOR3m5cv1qPvYIEHNAMERiAudqPv+SEl3zVNlAewIs7Qg6NLhcGKRGbYN0MQI6Fb&#10;0yza9k0zYhh8QAkxkve+XvJNwVcKZPqsVITETM+pt1TOUM7HfDabtej2QfiDltc2xD90YYV2VHSC&#10;uhdJsGPQv0FZLQNGVGkm0TaolJZQOBCbefsLm68H4aFwIXGin2SK/w9WfjrtAtMDzY4zJyyNaIvO&#10;kW5wDGwIqBObZ5VGHzsK3rpduFrR70KmfFbBMmW0f59BsodosXPR+DJpDOfEJDmXi+XbVUujkLe7&#10;pkLkRB9iegdoWf7pudEu0xedOH2IicpS6C0ku41jY89fr+aEl+2IRg8P2phi5BWCrQnsJGj4Qkpw&#10;qfZnjvYjDtW/bOnLBAm7bF1OqdYTGt0ZR84sQqVd/tLFQO3jCygSkejVAhPQ89q1inEUndMUdTol&#10;Xhn8uemaeI3PqVBW+2+Sp4xSGV2akq12GKp+z6unc5k8kVc1/qZA5Z0leMThUhaiSEM7WpS7vqf8&#10;CH62S/rTq9/8AAAA//8DAFBLAwQUAAYACAAAACEAatfONt4AAAAKAQAADwAAAGRycy9kb3ducmV2&#10;LnhtbEyPsU7DMBCGdyTewTokFtQ6daKoCnEqhNKBBamFhc2NTRwRn0Nst+HtOcQA4919+u/7693i&#10;RnY2cxg8StisM2AGO68H7CW8vuxXW2AhKtRq9GgkfJkAu+b6qlaV9hc8mPMx9oxCMFRKgo1xqjgP&#10;nTVOhbWfDNLt3c9ORRrnnutZXSjcjVxkWcmdGpA+WDWZR2u6j2NyEvJg012yh6eixDf1vE9t+yla&#10;KW9vlod7YNEs8Q+GH31Sh4acTj6hDmyUsNoUuSBWghA5MCLKbUFlTr8L3tT8f4XmGwAA//8DAFBL&#10;AQItABQABgAIAAAAIQC2gziS/gAAAOEBAAATAAAAAAAAAAAAAAAAAAAAAABbQ29udGVudF9UeXBl&#10;c10ueG1sUEsBAi0AFAAGAAgAAAAhADj9If/WAAAAlAEAAAsAAAAAAAAAAAAAAAAALwEAAF9yZWxz&#10;Ly5yZWxzUEsBAi0AFAAGAAgAAAAhANL+cOvxAQAAPQQAAA4AAAAAAAAAAAAAAAAALgIAAGRycy9l&#10;Mm9Eb2MueG1sUEsBAi0AFAAGAAgAAAAhAGrXzjbeAAAACgEAAA8AAAAAAAAAAAAAAAAASwQAAGRy&#10;cy9kb3ducmV2LnhtbFBLBQYAAAAABAAEAPMAAABWBQAAAAA=&#10;" strokecolor="#243f60 [1604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56730"/>
    <w:multiLevelType w:val="multilevel"/>
    <w:tmpl w:val="5A5E4F9C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C74BC1"/>
    <w:multiLevelType w:val="hybridMultilevel"/>
    <w:tmpl w:val="DCF087A4"/>
    <w:lvl w:ilvl="0" w:tplc="260E4182">
      <w:start w:val="1"/>
      <w:numFmt w:val="bullet"/>
      <w:pStyle w:val="Normaltir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4C"/>
    <w:rsid w:val="0001644B"/>
    <w:rsid w:val="000269FB"/>
    <w:rsid w:val="0008369B"/>
    <w:rsid w:val="00144C7C"/>
    <w:rsid w:val="001928BD"/>
    <w:rsid w:val="001D6E44"/>
    <w:rsid w:val="001E66D7"/>
    <w:rsid w:val="00245EE1"/>
    <w:rsid w:val="00291FC6"/>
    <w:rsid w:val="002E3637"/>
    <w:rsid w:val="00312E4C"/>
    <w:rsid w:val="00330BBB"/>
    <w:rsid w:val="00350DF9"/>
    <w:rsid w:val="004039BE"/>
    <w:rsid w:val="00410330"/>
    <w:rsid w:val="00453854"/>
    <w:rsid w:val="004916F6"/>
    <w:rsid w:val="005415FB"/>
    <w:rsid w:val="00541AAF"/>
    <w:rsid w:val="005B2FE3"/>
    <w:rsid w:val="005B721A"/>
    <w:rsid w:val="00623AA3"/>
    <w:rsid w:val="0073458C"/>
    <w:rsid w:val="00780C6A"/>
    <w:rsid w:val="007A1A30"/>
    <w:rsid w:val="007F7A9F"/>
    <w:rsid w:val="00872D90"/>
    <w:rsid w:val="008E4B8C"/>
    <w:rsid w:val="00911CDB"/>
    <w:rsid w:val="00915C4A"/>
    <w:rsid w:val="00996840"/>
    <w:rsid w:val="00AB41F0"/>
    <w:rsid w:val="00AE44A3"/>
    <w:rsid w:val="00B7173F"/>
    <w:rsid w:val="00BA43D7"/>
    <w:rsid w:val="00BE1174"/>
    <w:rsid w:val="00BF1EDE"/>
    <w:rsid w:val="00CB629B"/>
    <w:rsid w:val="00CC60DB"/>
    <w:rsid w:val="00D43DEC"/>
    <w:rsid w:val="00E4212E"/>
    <w:rsid w:val="00E96C3B"/>
    <w:rsid w:val="00F1260C"/>
    <w:rsid w:val="00F26129"/>
    <w:rsid w:val="00F73FBD"/>
    <w:rsid w:val="00FA03E3"/>
    <w:rsid w:val="00FF1DF9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DB"/>
    <w:rPr>
      <w:rFonts w:ascii="Century Gothic" w:hAnsi="Century Gothic"/>
    </w:rPr>
  </w:style>
  <w:style w:type="paragraph" w:styleId="Titre1">
    <w:name w:val="heading 1"/>
    <w:basedOn w:val="Normal"/>
    <w:next w:val="Normal"/>
    <w:link w:val="Titre1Car"/>
    <w:qFormat/>
    <w:rsid w:val="00911CDB"/>
    <w:pPr>
      <w:keepNext/>
      <w:widowControl w:val="0"/>
      <w:numPr>
        <w:numId w:val="1"/>
      </w:numPr>
      <w:spacing w:before="200" w:after="0" w:line="240" w:lineRule="auto"/>
      <w:jc w:val="both"/>
      <w:outlineLvl w:val="0"/>
    </w:pPr>
    <w:rPr>
      <w:rFonts w:eastAsia="Times New Roman" w:cs="Arial"/>
      <w:b/>
      <w:bCs/>
      <w:caps/>
      <w:color w:val="244061" w:themeColor="accent1" w:themeShade="80"/>
      <w:sz w:val="28"/>
      <w:szCs w:val="24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11CDB"/>
    <w:pPr>
      <w:keepNext/>
      <w:widowControl w:val="0"/>
      <w:numPr>
        <w:ilvl w:val="1"/>
        <w:numId w:val="1"/>
      </w:numPr>
      <w:spacing w:before="120" w:after="0" w:line="240" w:lineRule="auto"/>
      <w:ind w:left="1152"/>
      <w:jc w:val="both"/>
      <w:outlineLvl w:val="1"/>
    </w:pPr>
    <w:rPr>
      <w:rFonts w:eastAsia="Times New Roman" w:cs="Arial"/>
      <w:b/>
      <w:bCs/>
      <w:color w:val="244061" w:themeColor="accent1" w:themeShade="80"/>
      <w:sz w:val="26"/>
      <w:szCs w:val="28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F73FBD"/>
    <w:pPr>
      <w:keepNext/>
      <w:widowControl w:val="0"/>
      <w:numPr>
        <w:ilvl w:val="2"/>
        <w:numId w:val="1"/>
      </w:numPr>
      <w:spacing w:before="120" w:after="0" w:line="240" w:lineRule="auto"/>
      <w:jc w:val="both"/>
      <w:outlineLvl w:val="2"/>
    </w:pPr>
    <w:rPr>
      <w:rFonts w:ascii="Arial" w:eastAsia="Times New Roman" w:hAnsi="Arial" w:cs="Arial"/>
      <w:b/>
      <w:bCs/>
      <w:i/>
      <w:sz w:val="20"/>
      <w:szCs w:val="26"/>
      <w:lang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73FBD"/>
    <w:pPr>
      <w:keepNext/>
      <w:widowControl w:val="0"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F73FBD"/>
    <w:pPr>
      <w:widowControl w:val="0"/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F73FBD"/>
    <w:pPr>
      <w:widowControl w:val="0"/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F73FBD"/>
    <w:pPr>
      <w:widowControl w:val="0"/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F73FBD"/>
    <w:pPr>
      <w:widowControl w:val="0"/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F73FBD"/>
    <w:pPr>
      <w:widowControl w:val="0"/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2E4C"/>
  </w:style>
  <w:style w:type="paragraph" w:styleId="Pieddepage">
    <w:name w:val="footer"/>
    <w:basedOn w:val="Normal"/>
    <w:link w:val="PieddepageCar"/>
    <w:uiPriority w:val="99"/>
    <w:unhideWhenUsed/>
    <w:rsid w:val="0031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2E4C"/>
  </w:style>
  <w:style w:type="paragraph" w:styleId="Textedebulles">
    <w:name w:val="Balloon Text"/>
    <w:basedOn w:val="Normal"/>
    <w:link w:val="TextedebullesCar"/>
    <w:uiPriority w:val="99"/>
    <w:semiHidden/>
    <w:unhideWhenUsed/>
    <w:rsid w:val="00F7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FB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911CDB"/>
    <w:rPr>
      <w:rFonts w:ascii="Century Gothic" w:eastAsia="Times New Roman" w:hAnsi="Century Gothic" w:cs="Arial"/>
      <w:b/>
      <w:bCs/>
      <w:caps/>
      <w:color w:val="244061" w:themeColor="accent1" w:themeShade="80"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911CDB"/>
    <w:rPr>
      <w:rFonts w:ascii="Century Gothic" w:eastAsia="Times New Roman" w:hAnsi="Century Gothic" w:cs="Arial"/>
      <w:b/>
      <w:bCs/>
      <w:color w:val="244061" w:themeColor="accent1" w:themeShade="80"/>
      <w:sz w:val="26"/>
      <w:szCs w:val="28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F73FBD"/>
    <w:rPr>
      <w:rFonts w:ascii="Arial" w:eastAsia="Times New Roman" w:hAnsi="Arial" w:cs="Arial"/>
      <w:b/>
      <w:bCs/>
      <w:i/>
      <w:sz w:val="20"/>
      <w:szCs w:val="26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F73FBD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F73FBD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F73FBD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semiHidden/>
    <w:rsid w:val="00F73FB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F73FB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F73FBD"/>
    <w:rPr>
      <w:rFonts w:ascii="Arial" w:eastAsia="Times New Roman" w:hAnsi="Arial" w:cs="Arial"/>
      <w:lang w:eastAsia="fr-FR"/>
    </w:rPr>
  </w:style>
  <w:style w:type="paragraph" w:customStyle="1" w:styleId="Legendes">
    <w:name w:val="Legendes"/>
    <w:basedOn w:val="Normal"/>
    <w:qFormat/>
    <w:rsid w:val="008E4B8C"/>
    <w:pPr>
      <w:widowControl w:val="0"/>
      <w:spacing w:before="120" w:after="0" w:line="240" w:lineRule="auto"/>
      <w:jc w:val="center"/>
    </w:pPr>
    <w:rPr>
      <w:rFonts w:eastAsia="Times New Roman" w:cs="Arial"/>
      <w:i/>
      <w:szCs w:val="24"/>
      <w:lang w:eastAsia="fr-FR"/>
    </w:rPr>
  </w:style>
  <w:style w:type="paragraph" w:customStyle="1" w:styleId="Normaltiret">
    <w:name w:val="Normaltiret"/>
    <w:basedOn w:val="Normal"/>
    <w:qFormat/>
    <w:rsid w:val="00AE44A3"/>
    <w:pPr>
      <w:widowControl w:val="0"/>
      <w:numPr>
        <w:numId w:val="2"/>
      </w:numPr>
      <w:spacing w:before="120" w:after="0" w:line="240" w:lineRule="auto"/>
      <w:ind w:left="720"/>
      <w:jc w:val="both"/>
    </w:pPr>
    <w:rPr>
      <w:rFonts w:eastAsia="Times New Roman" w:cs="Times New Roman"/>
      <w:szCs w:val="24"/>
      <w:lang w:eastAsia="fr-FR"/>
    </w:rPr>
  </w:style>
  <w:style w:type="paragraph" w:customStyle="1" w:styleId="titreanx">
    <w:name w:val="titreanx"/>
    <w:basedOn w:val="Titre1"/>
    <w:rsid w:val="00F73FBD"/>
    <w:pPr>
      <w:numPr>
        <w:numId w:val="0"/>
      </w:numPr>
    </w:pPr>
    <w:rPr>
      <w:rFonts w:ascii="Arial" w:hAnsi="Arial"/>
    </w:rPr>
  </w:style>
  <w:style w:type="character" w:styleId="Rfrenceintense">
    <w:name w:val="Intense Reference"/>
    <w:aliases w:val="Référence"/>
    <w:uiPriority w:val="32"/>
    <w:qFormat/>
    <w:rsid w:val="00911CDB"/>
    <w:rPr>
      <w:rFonts w:ascii="Century Gothic" w:hAnsi="Century Gothic"/>
      <w:sz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330B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0B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0B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0B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0BB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DB"/>
    <w:rPr>
      <w:rFonts w:ascii="Century Gothic" w:hAnsi="Century Gothic"/>
    </w:rPr>
  </w:style>
  <w:style w:type="paragraph" w:styleId="Titre1">
    <w:name w:val="heading 1"/>
    <w:basedOn w:val="Normal"/>
    <w:next w:val="Normal"/>
    <w:link w:val="Titre1Car"/>
    <w:qFormat/>
    <w:rsid w:val="00911CDB"/>
    <w:pPr>
      <w:keepNext/>
      <w:widowControl w:val="0"/>
      <w:numPr>
        <w:numId w:val="1"/>
      </w:numPr>
      <w:spacing w:before="200" w:after="0" w:line="240" w:lineRule="auto"/>
      <w:jc w:val="both"/>
      <w:outlineLvl w:val="0"/>
    </w:pPr>
    <w:rPr>
      <w:rFonts w:eastAsia="Times New Roman" w:cs="Arial"/>
      <w:b/>
      <w:bCs/>
      <w:caps/>
      <w:color w:val="244061" w:themeColor="accent1" w:themeShade="80"/>
      <w:sz w:val="28"/>
      <w:szCs w:val="24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11CDB"/>
    <w:pPr>
      <w:keepNext/>
      <w:widowControl w:val="0"/>
      <w:numPr>
        <w:ilvl w:val="1"/>
        <w:numId w:val="1"/>
      </w:numPr>
      <w:spacing w:before="120" w:after="0" w:line="240" w:lineRule="auto"/>
      <w:ind w:left="1152"/>
      <w:jc w:val="both"/>
      <w:outlineLvl w:val="1"/>
    </w:pPr>
    <w:rPr>
      <w:rFonts w:eastAsia="Times New Roman" w:cs="Arial"/>
      <w:b/>
      <w:bCs/>
      <w:color w:val="244061" w:themeColor="accent1" w:themeShade="80"/>
      <w:sz w:val="26"/>
      <w:szCs w:val="28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F73FBD"/>
    <w:pPr>
      <w:keepNext/>
      <w:widowControl w:val="0"/>
      <w:numPr>
        <w:ilvl w:val="2"/>
        <w:numId w:val="1"/>
      </w:numPr>
      <w:spacing w:before="120" w:after="0" w:line="240" w:lineRule="auto"/>
      <w:jc w:val="both"/>
      <w:outlineLvl w:val="2"/>
    </w:pPr>
    <w:rPr>
      <w:rFonts w:ascii="Arial" w:eastAsia="Times New Roman" w:hAnsi="Arial" w:cs="Arial"/>
      <w:b/>
      <w:bCs/>
      <w:i/>
      <w:sz w:val="20"/>
      <w:szCs w:val="26"/>
      <w:lang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73FBD"/>
    <w:pPr>
      <w:keepNext/>
      <w:widowControl w:val="0"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F73FBD"/>
    <w:pPr>
      <w:widowControl w:val="0"/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F73FBD"/>
    <w:pPr>
      <w:widowControl w:val="0"/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F73FBD"/>
    <w:pPr>
      <w:widowControl w:val="0"/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F73FBD"/>
    <w:pPr>
      <w:widowControl w:val="0"/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F73FBD"/>
    <w:pPr>
      <w:widowControl w:val="0"/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2E4C"/>
  </w:style>
  <w:style w:type="paragraph" w:styleId="Pieddepage">
    <w:name w:val="footer"/>
    <w:basedOn w:val="Normal"/>
    <w:link w:val="PieddepageCar"/>
    <w:uiPriority w:val="99"/>
    <w:unhideWhenUsed/>
    <w:rsid w:val="0031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2E4C"/>
  </w:style>
  <w:style w:type="paragraph" w:styleId="Textedebulles">
    <w:name w:val="Balloon Text"/>
    <w:basedOn w:val="Normal"/>
    <w:link w:val="TextedebullesCar"/>
    <w:uiPriority w:val="99"/>
    <w:semiHidden/>
    <w:unhideWhenUsed/>
    <w:rsid w:val="00F7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FB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911CDB"/>
    <w:rPr>
      <w:rFonts w:ascii="Century Gothic" w:eastAsia="Times New Roman" w:hAnsi="Century Gothic" w:cs="Arial"/>
      <w:b/>
      <w:bCs/>
      <w:caps/>
      <w:color w:val="244061" w:themeColor="accent1" w:themeShade="80"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911CDB"/>
    <w:rPr>
      <w:rFonts w:ascii="Century Gothic" w:eastAsia="Times New Roman" w:hAnsi="Century Gothic" w:cs="Arial"/>
      <w:b/>
      <w:bCs/>
      <w:color w:val="244061" w:themeColor="accent1" w:themeShade="80"/>
      <w:sz w:val="26"/>
      <w:szCs w:val="28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F73FBD"/>
    <w:rPr>
      <w:rFonts w:ascii="Arial" w:eastAsia="Times New Roman" w:hAnsi="Arial" w:cs="Arial"/>
      <w:b/>
      <w:bCs/>
      <w:i/>
      <w:sz w:val="20"/>
      <w:szCs w:val="26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F73FBD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F73FBD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F73FBD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semiHidden/>
    <w:rsid w:val="00F73FB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F73FB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F73FBD"/>
    <w:rPr>
      <w:rFonts w:ascii="Arial" w:eastAsia="Times New Roman" w:hAnsi="Arial" w:cs="Arial"/>
      <w:lang w:eastAsia="fr-FR"/>
    </w:rPr>
  </w:style>
  <w:style w:type="paragraph" w:customStyle="1" w:styleId="Legendes">
    <w:name w:val="Legendes"/>
    <w:basedOn w:val="Normal"/>
    <w:qFormat/>
    <w:rsid w:val="008E4B8C"/>
    <w:pPr>
      <w:widowControl w:val="0"/>
      <w:spacing w:before="120" w:after="0" w:line="240" w:lineRule="auto"/>
      <w:jc w:val="center"/>
    </w:pPr>
    <w:rPr>
      <w:rFonts w:eastAsia="Times New Roman" w:cs="Arial"/>
      <w:i/>
      <w:szCs w:val="24"/>
      <w:lang w:eastAsia="fr-FR"/>
    </w:rPr>
  </w:style>
  <w:style w:type="paragraph" w:customStyle="1" w:styleId="Normaltiret">
    <w:name w:val="Normaltiret"/>
    <w:basedOn w:val="Normal"/>
    <w:qFormat/>
    <w:rsid w:val="00AE44A3"/>
    <w:pPr>
      <w:widowControl w:val="0"/>
      <w:numPr>
        <w:numId w:val="2"/>
      </w:numPr>
      <w:spacing w:before="120" w:after="0" w:line="240" w:lineRule="auto"/>
      <w:ind w:left="720"/>
      <w:jc w:val="both"/>
    </w:pPr>
    <w:rPr>
      <w:rFonts w:eastAsia="Times New Roman" w:cs="Times New Roman"/>
      <w:szCs w:val="24"/>
      <w:lang w:eastAsia="fr-FR"/>
    </w:rPr>
  </w:style>
  <w:style w:type="paragraph" w:customStyle="1" w:styleId="titreanx">
    <w:name w:val="titreanx"/>
    <w:basedOn w:val="Titre1"/>
    <w:rsid w:val="00F73FBD"/>
    <w:pPr>
      <w:numPr>
        <w:numId w:val="0"/>
      </w:numPr>
    </w:pPr>
    <w:rPr>
      <w:rFonts w:ascii="Arial" w:hAnsi="Arial"/>
    </w:rPr>
  </w:style>
  <w:style w:type="character" w:styleId="Rfrenceintense">
    <w:name w:val="Intense Reference"/>
    <w:aliases w:val="Référence"/>
    <w:uiPriority w:val="32"/>
    <w:qFormat/>
    <w:rsid w:val="00911CDB"/>
    <w:rPr>
      <w:rFonts w:ascii="Century Gothic" w:hAnsi="Century Gothic"/>
      <w:sz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330B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0B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0B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0B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0B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75F43-4FE3-401C-BE0B-727CBD94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426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ENS de Lyon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Editors</dc:creator>
  <cp:lastModifiedBy>BUISSON André</cp:lastModifiedBy>
  <cp:revision>3</cp:revision>
  <cp:lastPrinted>2019-03-28T19:33:00Z</cp:lastPrinted>
  <dcterms:created xsi:type="dcterms:W3CDTF">2019-05-21T21:59:00Z</dcterms:created>
  <dcterms:modified xsi:type="dcterms:W3CDTF">2019-06-24T09:03:00Z</dcterms:modified>
</cp:coreProperties>
</file>