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1D8FB" w14:textId="77777777" w:rsidR="00312E4C" w:rsidRPr="005B5526" w:rsidRDefault="00312E4C" w:rsidP="00312E4C">
      <w:pPr>
        <w:rPr>
          <w:color w:val="244061" w:themeColor="accent1" w:themeShade="80"/>
          <w:sz w:val="28"/>
          <w:szCs w:val="28"/>
        </w:rPr>
      </w:pPr>
      <w:r w:rsidRPr="005B5526">
        <w:rPr>
          <w:color w:val="244061" w:themeColor="accent1" w:themeShade="80"/>
          <w:sz w:val="28"/>
          <w:szCs w:val="28"/>
        </w:rPr>
        <w:t xml:space="preserve">Titre de la </w:t>
      </w:r>
      <w:r w:rsidR="00D43DEC" w:rsidRPr="005B5526">
        <w:rPr>
          <w:color w:val="244061" w:themeColor="accent1" w:themeShade="80"/>
          <w:sz w:val="28"/>
          <w:szCs w:val="28"/>
        </w:rPr>
        <w:t>présentation</w:t>
      </w:r>
      <w:r w:rsidR="002D41B1" w:rsidRPr="005B5526">
        <w:rPr>
          <w:color w:val="244061" w:themeColor="accent1" w:themeShade="80"/>
          <w:sz w:val="28"/>
          <w:szCs w:val="28"/>
        </w:rPr>
        <w:t xml:space="preserve"> : </w:t>
      </w:r>
    </w:p>
    <w:p w14:paraId="662DFD68" w14:textId="77777777" w:rsidR="002D41B1" w:rsidRPr="00911CDB" w:rsidRDefault="002D41B1" w:rsidP="00312E4C">
      <w:pPr>
        <w:rPr>
          <w:b/>
          <w:color w:val="244061" w:themeColor="accent1" w:themeShade="80"/>
          <w:sz w:val="28"/>
          <w:szCs w:val="28"/>
        </w:rPr>
      </w:pPr>
      <w:r>
        <w:rPr>
          <w:b/>
          <w:color w:val="244061" w:themeColor="accent1" w:themeShade="80"/>
          <w:sz w:val="28"/>
          <w:szCs w:val="28"/>
        </w:rPr>
        <w:t>Approche intercomparée de la contamination en PCB des grands fleuves français depuis 1945</w:t>
      </w:r>
      <w:r w:rsidR="005B5526">
        <w:rPr>
          <w:b/>
          <w:color w:val="244061" w:themeColor="accent1" w:themeShade="80"/>
          <w:sz w:val="28"/>
          <w:szCs w:val="28"/>
        </w:rPr>
        <w:t xml:space="preserve"> à partir des données de gestion des cours d’eau et de carottages</w:t>
      </w:r>
    </w:p>
    <w:p w14:paraId="0D5F7206" w14:textId="77777777" w:rsidR="00623AA3" w:rsidRPr="00911CDB" w:rsidRDefault="00623AA3" w:rsidP="00312E4C">
      <w:pPr>
        <w:rPr>
          <w:b/>
          <w:color w:val="244061" w:themeColor="accent1" w:themeShade="80"/>
          <w:sz w:val="24"/>
          <w:szCs w:val="24"/>
        </w:rPr>
      </w:pPr>
      <w:r w:rsidRPr="005B5526">
        <w:rPr>
          <w:color w:val="244061" w:themeColor="accent1" w:themeShade="80"/>
          <w:sz w:val="24"/>
          <w:szCs w:val="24"/>
        </w:rPr>
        <w:t>Nom</w:t>
      </w:r>
      <w:r w:rsidR="002D41B1" w:rsidRPr="005B5526">
        <w:rPr>
          <w:color w:val="244061" w:themeColor="accent1" w:themeShade="80"/>
          <w:sz w:val="24"/>
          <w:szCs w:val="24"/>
        </w:rPr>
        <w:t> :</w:t>
      </w:r>
      <w:r w:rsidR="002D41B1" w:rsidRPr="005B5526">
        <w:rPr>
          <w:b/>
          <w:color w:val="244061" w:themeColor="accent1" w:themeShade="80"/>
          <w:sz w:val="24"/>
          <w:szCs w:val="24"/>
        </w:rPr>
        <w:t xml:space="preserve"> Dendievel </w:t>
      </w:r>
      <w:r w:rsidR="005B5526">
        <w:rPr>
          <w:b/>
          <w:color w:val="244061" w:themeColor="accent1" w:themeShade="80"/>
          <w:sz w:val="24"/>
          <w:szCs w:val="24"/>
        </w:rPr>
        <w:tab/>
      </w:r>
      <w:r w:rsidR="005B5526">
        <w:rPr>
          <w:b/>
          <w:color w:val="244061" w:themeColor="accent1" w:themeShade="80"/>
          <w:sz w:val="24"/>
          <w:szCs w:val="24"/>
        </w:rPr>
        <w:tab/>
      </w:r>
      <w:r w:rsidRPr="005B5526">
        <w:rPr>
          <w:color w:val="244061" w:themeColor="accent1" w:themeShade="80"/>
          <w:sz w:val="24"/>
          <w:szCs w:val="24"/>
        </w:rPr>
        <w:t>Prénom</w:t>
      </w:r>
      <w:r w:rsidR="002D41B1" w:rsidRPr="005B5526">
        <w:rPr>
          <w:color w:val="244061" w:themeColor="accent1" w:themeShade="80"/>
          <w:sz w:val="24"/>
          <w:szCs w:val="24"/>
        </w:rPr>
        <w:t> :</w:t>
      </w:r>
      <w:r w:rsidR="002D41B1">
        <w:rPr>
          <w:b/>
          <w:color w:val="244061" w:themeColor="accent1" w:themeShade="80"/>
          <w:sz w:val="24"/>
          <w:szCs w:val="24"/>
        </w:rPr>
        <w:t xml:space="preserve"> André-Marie</w:t>
      </w:r>
    </w:p>
    <w:p w14:paraId="21A61198" w14:textId="77777777" w:rsidR="00E96C3B" w:rsidRDefault="00E96C3B" w:rsidP="00312E4C">
      <w:pPr>
        <w:rPr>
          <w:b/>
          <w:color w:val="244061" w:themeColor="accent1" w:themeShade="80"/>
          <w:sz w:val="24"/>
          <w:szCs w:val="24"/>
        </w:rPr>
      </w:pPr>
      <w:r w:rsidRPr="005B5526">
        <w:rPr>
          <w:color w:val="244061" w:themeColor="accent1" w:themeShade="80"/>
          <w:sz w:val="24"/>
          <w:szCs w:val="24"/>
        </w:rPr>
        <w:t>Discipline(s)</w:t>
      </w:r>
      <w:r w:rsidR="002D41B1" w:rsidRPr="005B5526">
        <w:rPr>
          <w:color w:val="244061" w:themeColor="accent1" w:themeShade="80"/>
          <w:sz w:val="24"/>
          <w:szCs w:val="24"/>
        </w:rPr>
        <w:t> :</w:t>
      </w:r>
      <w:r w:rsidR="002D41B1">
        <w:rPr>
          <w:b/>
          <w:color w:val="244061" w:themeColor="accent1" w:themeShade="80"/>
          <w:sz w:val="24"/>
          <w:szCs w:val="24"/>
        </w:rPr>
        <w:t xml:space="preserve"> Géosciences / Géographie physique et environnementale</w:t>
      </w:r>
    </w:p>
    <w:p w14:paraId="7AFDBDA5" w14:textId="77777777" w:rsidR="002D41B1" w:rsidRDefault="005B5526" w:rsidP="002D41B1">
      <w:pPr>
        <w:rPr>
          <w:b/>
          <w:color w:val="244061" w:themeColor="accent1" w:themeShade="80"/>
          <w:sz w:val="24"/>
          <w:szCs w:val="24"/>
        </w:rPr>
      </w:pPr>
      <w:r>
        <w:rPr>
          <w:color w:val="244061" w:themeColor="accent1" w:themeShade="80"/>
          <w:sz w:val="24"/>
          <w:szCs w:val="24"/>
        </w:rPr>
        <w:t>Directeur(s)</w:t>
      </w:r>
      <w:r w:rsidRPr="005B5526">
        <w:rPr>
          <w:color w:val="244061" w:themeColor="accent1" w:themeShade="80"/>
          <w:sz w:val="24"/>
          <w:szCs w:val="24"/>
        </w:rPr>
        <w:t xml:space="preserve"> :</w:t>
      </w:r>
      <w:r>
        <w:rPr>
          <w:b/>
          <w:color w:val="244061" w:themeColor="accent1" w:themeShade="80"/>
          <w:sz w:val="24"/>
          <w:szCs w:val="24"/>
        </w:rPr>
        <w:t xml:space="preserve"> Brice Mourier </w:t>
      </w:r>
      <w:r w:rsidR="002D41B1">
        <w:rPr>
          <w:b/>
          <w:color w:val="244061" w:themeColor="accent1" w:themeShade="80"/>
          <w:sz w:val="24"/>
          <w:szCs w:val="24"/>
        </w:rPr>
        <w:t>et les membres du Consortium INTERP</w:t>
      </w:r>
      <w:r>
        <w:rPr>
          <w:b/>
          <w:color w:val="244061" w:themeColor="accent1" w:themeShade="80"/>
          <w:sz w:val="24"/>
          <w:szCs w:val="24"/>
        </w:rPr>
        <w:t>O</w:t>
      </w:r>
      <w:r w:rsidR="002D41B1">
        <w:rPr>
          <w:b/>
          <w:color w:val="244061" w:themeColor="accent1" w:themeShade="80"/>
          <w:sz w:val="24"/>
          <w:szCs w:val="24"/>
        </w:rPr>
        <w:t>L</w:t>
      </w:r>
      <w:r w:rsidR="003B169B">
        <w:rPr>
          <w:rStyle w:val="Appelnotedebasdep"/>
          <w:b/>
          <w:color w:val="244061" w:themeColor="accent1" w:themeShade="80"/>
          <w:sz w:val="24"/>
          <w:szCs w:val="24"/>
        </w:rPr>
        <w:footnoteReference w:id="1"/>
      </w:r>
    </w:p>
    <w:p w14:paraId="73616371" w14:textId="77777777" w:rsidR="005B5526" w:rsidRPr="00911CDB" w:rsidRDefault="005B5526" w:rsidP="005B5526">
      <w:pPr>
        <w:rPr>
          <w:b/>
          <w:color w:val="244061" w:themeColor="accent1" w:themeShade="80"/>
          <w:sz w:val="24"/>
          <w:szCs w:val="24"/>
        </w:rPr>
      </w:pPr>
      <w:r w:rsidRPr="005B5526">
        <w:rPr>
          <w:color w:val="244061" w:themeColor="accent1" w:themeShade="80"/>
          <w:sz w:val="24"/>
          <w:szCs w:val="24"/>
        </w:rPr>
        <w:t>Financement :</w:t>
      </w:r>
      <w:r>
        <w:rPr>
          <w:b/>
          <w:color w:val="244061" w:themeColor="accent1" w:themeShade="80"/>
          <w:sz w:val="24"/>
          <w:szCs w:val="24"/>
        </w:rPr>
        <w:t xml:space="preserve"> Agence Française de la Biodiversité</w:t>
      </w:r>
    </w:p>
    <w:p w14:paraId="7A30D3AB" w14:textId="77777777" w:rsidR="005B5526" w:rsidRPr="005B5526" w:rsidRDefault="005B5526" w:rsidP="00312E4C">
      <w:pPr>
        <w:rPr>
          <w:b/>
          <w:color w:val="244061" w:themeColor="accent1" w:themeShade="80"/>
          <w:sz w:val="24"/>
          <w:szCs w:val="24"/>
        </w:rPr>
      </w:pPr>
      <w:r>
        <w:rPr>
          <w:color w:val="244061" w:themeColor="accent1" w:themeShade="80"/>
          <w:sz w:val="24"/>
          <w:szCs w:val="24"/>
        </w:rPr>
        <w:t xml:space="preserve">Titre du projet post-doctoral : </w:t>
      </w:r>
      <w:r w:rsidRPr="005B5526">
        <w:rPr>
          <w:b/>
          <w:color w:val="244061" w:themeColor="accent1" w:themeShade="80"/>
          <w:sz w:val="24"/>
          <w:szCs w:val="24"/>
        </w:rPr>
        <w:t>INTERPOL – Intercomparaison de la pollution particulaire des fleuves français</w:t>
      </w:r>
    </w:p>
    <w:p w14:paraId="3E353D6F" w14:textId="77777777" w:rsidR="00312E4C" w:rsidRPr="005B5526" w:rsidRDefault="00F73FBD" w:rsidP="00312E4C">
      <w:pPr>
        <w:rPr>
          <w:color w:val="244061" w:themeColor="accent1" w:themeShade="80"/>
          <w:sz w:val="24"/>
          <w:szCs w:val="24"/>
        </w:rPr>
      </w:pPr>
      <w:r w:rsidRPr="005B5526">
        <w:rPr>
          <w:color w:val="244061" w:themeColor="accent1" w:themeShade="80"/>
          <w:sz w:val="24"/>
          <w:szCs w:val="24"/>
        </w:rPr>
        <w:t>Organismes et adresses (mai</w:t>
      </w:r>
      <w:r w:rsidR="00312E4C" w:rsidRPr="005B5526">
        <w:rPr>
          <w:color w:val="244061" w:themeColor="accent1" w:themeShade="80"/>
          <w:sz w:val="24"/>
          <w:szCs w:val="24"/>
        </w:rPr>
        <w:t>ls)</w:t>
      </w:r>
      <w:r w:rsidR="005B5526" w:rsidRPr="005B5526">
        <w:rPr>
          <w:color w:val="244061" w:themeColor="accent1" w:themeShade="80"/>
          <w:sz w:val="24"/>
          <w:szCs w:val="24"/>
        </w:rPr>
        <w:t> :</w:t>
      </w:r>
    </w:p>
    <w:p w14:paraId="1B829DF9" w14:textId="77777777" w:rsidR="00312E4C" w:rsidRPr="00911CDB" w:rsidRDefault="005B5526" w:rsidP="00312E4C">
      <w:r>
        <w:rPr>
          <w:b/>
          <w:color w:val="244061" w:themeColor="accent1" w:themeShade="80"/>
          <w:sz w:val="24"/>
          <w:szCs w:val="24"/>
        </w:rPr>
        <w:t>Univ. Lyon, UMR CNRS 5023 LEHNA-IPE, ENTPE (Vaulx-en-Velin)</w:t>
      </w:r>
      <w:r>
        <w:rPr>
          <w:b/>
          <w:color w:val="244061" w:themeColor="accent1" w:themeShade="80"/>
          <w:sz w:val="24"/>
          <w:szCs w:val="24"/>
        </w:rPr>
        <w:br/>
      </w:r>
      <w:hyperlink r:id="rId9" w:history="1">
        <w:r w:rsidRPr="007103B4">
          <w:rPr>
            <w:rStyle w:val="Lienhypertexte"/>
            <w:b/>
            <w:sz w:val="24"/>
            <w:szCs w:val="24"/>
          </w:rPr>
          <w:t>andre-marie.dendievel@entpe.fr</w:t>
        </w:r>
      </w:hyperlink>
      <w:r>
        <w:rPr>
          <w:b/>
          <w:color w:val="244061" w:themeColor="accent1" w:themeShade="80"/>
          <w:sz w:val="24"/>
          <w:szCs w:val="24"/>
        </w:rPr>
        <w:br/>
      </w:r>
      <w:hyperlink r:id="rId10" w:history="1">
        <w:r w:rsidRPr="007103B4">
          <w:rPr>
            <w:rStyle w:val="Lienhypertexte"/>
            <w:b/>
            <w:sz w:val="24"/>
            <w:szCs w:val="24"/>
          </w:rPr>
          <w:t>brice.mourier@entpe.fr</w:t>
        </w:r>
      </w:hyperlink>
    </w:p>
    <w:p w14:paraId="7CF31A57" w14:textId="77777777" w:rsidR="00F73FBD" w:rsidRPr="00911CDB" w:rsidRDefault="00F73FBD" w:rsidP="00312E4C">
      <w:pPr>
        <w:rPr>
          <w:color w:val="244061" w:themeColor="accent1" w:themeShade="80"/>
          <w:sz w:val="28"/>
          <w:szCs w:val="28"/>
        </w:rPr>
      </w:pPr>
      <w:r w:rsidRPr="00911CDB">
        <w:rPr>
          <w:b/>
          <w:color w:val="244061" w:themeColor="accent1" w:themeShade="80"/>
          <w:sz w:val="28"/>
          <w:szCs w:val="28"/>
        </w:rPr>
        <w:t>Format de présentation</w:t>
      </w:r>
    </w:p>
    <w:p w14:paraId="1546875A" w14:textId="77777777" w:rsidR="00312E4C" w:rsidRPr="00911CDB" w:rsidRDefault="0072116F" w:rsidP="00F73FBD">
      <w:pPr>
        <w:tabs>
          <w:tab w:val="left" w:pos="735"/>
        </w:tabs>
        <w:spacing w:after="0"/>
        <w:ind w:left="708"/>
      </w:pPr>
      <w:sdt>
        <w:sdtPr>
          <w:id w:val="281389156"/>
          <w14:checkbox>
            <w14:checked w14:val="1"/>
            <w14:checkedState w14:val="2612" w14:font="MS Gothic"/>
            <w14:uncheckedState w14:val="2610" w14:font="MS Gothic"/>
          </w14:checkbox>
        </w:sdtPr>
        <w:sdtEndPr/>
        <w:sdtContent>
          <w:r w:rsidR="001C1DBC">
            <w:rPr>
              <w:rFonts w:ascii="MS Gothic" w:eastAsia="MS Gothic" w:hAnsi="MS Gothic" w:hint="eastAsia"/>
            </w:rPr>
            <w:t>☒</w:t>
          </w:r>
        </w:sdtContent>
      </w:sdt>
      <w:r w:rsidR="00F73FBD" w:rsidRPr="00911CDB">
        <w:tab/>
        <w:t>Communication orale (15 minutes)</w:t>
      </w:r>
    </w:p>
    <w:p w14:paraId="4DC33207" w14:textId="77777777" w:rsidR="00F73FBD" w:rsidRPr="00911CDB" w:rsidRDefault="0072116F" w:rsidP="00F73FBD">
      <w:pPr>
        <w:tabs>
          <w:tab w:val="left" w:pos="735"/>
        </w:tabs>
        <w:spacing w:after="0"/>
        <w:ind w:left="708"/>
      </w:pPr>
      <w:sdt>
        <w:sdtPr>
          <w:id w:val="194044402"/>
          <w14:checkbox>
            <w14:checked w14:val="0"/>
            <w14:checkedState w14:val="2612" w14:font="MS Gothic"/>
            <w14:uncheckedState w14:val="2610" w14:font="MS Gothic"/>
          </w14:checkbox>
        </w:sdtPr>
        <w:sdtEndPr/>
        <w:sdtContent>
          <w:r w:rsidR="00D73B73">
            <w:rPr>
              <w:rFonts w:ascii="MS Gothic" w:eastAsia="MS Gothic" w:hAnsi="MS Gothic" w:hint="eastAsia"/>
            </w:rPr>
            <w:t>☐</w:t>
          </w:r>
        </w:sdtContent>
      </w:sdt>
      <w:r w:rsidR="00F73FBD" w:rsidRPr="00911CDB">
        <w:tab/>
        <w:t xml:space="preserve">Poster </w:t>
      </w:r>
      <w:r w:rsidR="00BA43D7" w:rsidRPr="00872D90">
        <w:t>(format A0)</w:t>
      </w:r>
    </w:p>
    <w:p w14:paraId="5463286F" w14:textId="77777777" w:rsidR="00F73FBD" w:rsidRPr="00911CDB" w:rsidRDefault="0072116F" w:rsidP="00F73FBD">
      <w:pPr>
        <w:tabs>
          <w:tab w:val="left" w:pos="735"/>
        </w:tabs>
        <w:spacing w:after="0"/>
        <w:ind w:left="708"/>
      </w:pPr>
      <w:sdt>
        <w:sdtPr>
          <w:id w:val="1584798783"/>
          <w14:checkbox>
            <w14:checked w14:val="0"/>
            <w14:checkedState w14:val="2612" w14:font="MS Gothic"/>
            <w14:uncheckedState w14:val="2610" w14:font="MS Gothic"/>
          </w14:checkbox>
        </w:sdtPr>
        <w:sdtEndPr/>
        <w:sdtContent>
          <w:r w:rsidR="00F73FBD" w:rsidRPr="00911CDB">
            <w:rPr>
              <w:rFonts w:ascii="MS Gothic" w:eastAsia="MS Gothic" w:hAnsi="MS Gothic" w:cs="MS Gothic" w:hint="eastAsia"/>
            </w:rPr>
            <w:t>☐</w:t>
          </w:r>
        </w:sdtContent>
      </w:sdt>
      <w:r w:rsidR="00F73FBD" w:rsidRPr="00911CDB">
        <w:tab/>
      </w:r>
      <w:r w:rsidR="00915C4A" w:rsidRPr="00911CDB">
        <w:t>« M</w:t>
      </w:r>
      <w:r w:rsidR="00F73FBD" w:rsidRPr="00911CDB">
        <w:t>a thèse en trois images </w:t>
      </w:r>
      <w:r w:rsidR="00780C6A" w:rsidRPr="00911CDB">
        <w:t xml:space="preserve"> et 180 secondes </w:t>
      </w:r>
      <w:r w:rsidR="00F73FBD" w:rsidRPr="00911CDB">
        <w:t>» (</w:t>
      </w:r>
      <w:r w:rsidR="00915C4A" w:rsidRPr="00911CDB">
        <w:t>3 minutes)</w:t>
      </w:r>
    </w:p>
    <w:p w14:paraId="7B1307C2" w14:textId="77777777" w:rsidR="005B5526" w:rsidRDefault="005B5526" w:rsidP="00312E4C">
      <w:pPr>
        <w:rPr>
          <w:b/>
          <w:color w:val="244061" w:themeColor="accent1" w:themeShade="80"/>
          <w:sz w:val="28"/>
          <w:szCs w:val="28"/>
        </w:rPr>
      </w:pPr>
    </w:p>
    <w:p w14:paraId="241D8AB9" w14:textId="77777777" w:rsidR="00312E4C" w:rsidRPr="00911CDB" w:rsidRDefault="00312E4C" w:rsidP="00312E4C">
      <w:pPr>
        <w:rPr>
          <w:b/>
          <w:color w:val="244061" w:themeColor="accent1" w:themeShade="80"/>
          <w:sz w:val="28"/>
          <w:szCs w:val="28"/>
        </w:rPr>
      </w:pPr>
      <w:r w:rsidRPr="00911CDB">
        <w:rPr>
          <w:b/>
          <w:color w:val="244061" w:themeColor="accent1" w:themeShade="80"/>
          <w:sz w:val="28"/>
          <w:szCs w:val="28"/>
        </w:rPr>
        <w:t>R</w:t>
      </w:r>
      <w:r w:rsidR="00BA43D7" w:rsidRPr="00911CDB">
        <w:rPr>
          <w:b/>
          <w:color w:val="244061" w:themeColor="accent1" w:themeShade="80"/>
          <w:sz w:val="28"/>
          <w:szCs w:val="28"/>
        </w:rPr>
        <w:t>ésumé</w:t>
      </w:r>
    </w:p>
    <w:p w14:paraId="1DBFE9E6" w14:textId="7EF6CB45" w:rsidR="00762885" w:rsidRPr="00911CDB" w:rsidRDefault="002D68C9" w:rsidP="002D68C9">
      <w:pPr>
        <w:jc w:val="both"/>
      </w:pPr>
      <w:r>
        <w:t>Reconstituer et modéliser les trajectoires de contamination historique par les polluants organiques et métalliques dans les grands systèmes fluviaux est l’un des défis majeurs du projet INTERPOL (</w:t>
      </w:r>
      <w:r w:rsidRPr="002D68C9">
        <w:t>Intercomparaison de la pollution particulaire des fleuves français</w:t>
      </w:r>
      <w:r>
        <w:t xml:space="preserve">). </w:t>
      </w:r>
      <w:r w:rsidR="002D466E">
        <w:t xml:space="preserve">Dans le cadre de cette présentation, nous nous intéresserons </w:t>
      </w:r>
      <w:r w:rsidR="00647005">
        <w:t xml:space="preserve">au cas des </w:t>
      </w:r>
      <w:r w:rsidR="002D466E">
        <w:t>polychlorobiphényles (PCB), sous l’angle des 7 PCB indicateurs (PCBi), qui sont des micro-polluants historique</w:t>
      </w:r>
      <w:r w:rsidR="00647005">
        <w:t>s</w:t>
      </w:r>
      <w:r w:rsidR="002D466E">
        <w:t xml:space="preserve"> dont la réglementation a interdit la vente et la production depuis 1987 en France. Néanmoins, le</w:t>
      </w:r>
      <w:r>
        <w:t xml:space="preserve">s </w:t>
      </w:r>
      <w:r w:rsidR="002D466E">
        <w:t xml:space="preserve">PCBi demeurent </w:t>
      </w:r>
      <w:r>
        <w:t xml:space="preserve">stockés en fortes concentrations au sein des sédiments fluviaux fins (argiles et silts), </w:t>
      </w:r>
      <w:r w:rsidR="002D466E">
        <w:t>et peuvent être</w:t>
      </w:r>
      <w:r>
        <w:t xml:space="preserve"> remobilisés et transportés au fil de l’eau. </w:t>
      </w:r>
      <w:r w:rsidR="000E5ADC">
        <w:t>Ils</w:t>
      </w:r>
      <w:r>
        <w:t xml:space="preserve"> font ainsi partie intégrante du cycle </w:t>
      </w:r>
      <w:r w:rsidR="002D466E">
        <w:t xml:space="preserve">actuel </w:t>
      </w:r>
      <w:r>
        <w:t>de l’</w:t>
      </w:r>
      <w:r w:rsidR="002D466E">
        <w:t xml:space="preserve">eau </w:t>
      </w:r>
      <w:r>
        <w:t xml:space="preserve">et </w:t>
      </w:r>
      <w:r w:rsidR="002D466E">
        <w:t xml:space="preserve">sont facilement </w:t>
      </w:r>
      <w:r>
        <w:t xml:space="preserve">assimilés </w:t>
      </w:r>
      <w:r w:rsidR="002D466E">
        <w:t xml:space="preserve">dans les graisses de la faune aquatique </w:t>
      </w:r>
      <w:r w:rsidR="002D466E">
        <w:lastRenderedPageBreak/>
        <w:t>et marine (poissons, crustacés et bivalves)</w:t>
      </w:r>
      <w:r w:rsidR="00125FC9">
        <w:t>, ce qui engendre des besoins de connaissances en lien avec des enjeux sanitaires</w:t>
      </w:r>
      <w:r w:rsidR="00647005">
        <w:t xml:space="preserve">. </w:t>
      </w:r>
      <w:r w:rsidR="002D466E">
        <w:t>Dans le cadre du Projet INTERPOL, nous proposons de reconstituer les tendances d</w:t>
      </w:r>
      <w:r w:rsidR="000E5ADC">
        <w:t xml:space="preserve">e contamination depuis 1945, en </w:t>
      </w:r>
      <w:bookmarkStart w:id="0" w:name="_GoBack"/>
      <w:bookmarkEnd w:id="0"/>
      <w:r w:rsidR="002D466E">
        <w:t xml:space="preserve">rapport avec les productions industrielles et l’occupation des bassins versants, à partir de la comparaison (1) des mesures </w:t>
      </w:r>
      <w:r w:rsidR="00125FC9">
        <w:t xml:space="preserve">issues </w:t>
      </w:r>
      <w:r w:rsidR="002D466E">
        <w:t>d</w:t>
      </w:r>
      <w:r w:rsidR="00125FC9">
        <w:t>u</w:t>
      </w:r>
      <w:r w:rsidR="002D466E">
        <w:t xml:space="preserve"> suivi </w:t>
      </w:r>
      <w:r w:rsidR="00125FC9">
        <w:t xml:space="preserve">règlementaire </w:t>
      </w:r>
      <w:r w:rsidR="002D466E">
        <w:t xml:space="preserve">de la qualité des cours d’eau depuis </w:t>
      </w:r>
      <w:r w:rsidR="00762885">
        <w:t xml:space="preserve">les années </w:t>
      </w:r>
      <w:r w:rsidR="002D466E">
        <w:t>19</w:t>
      </w:r>
      <w:r w:rsidR="00762885">
        <w:t>8</w:t>
      </w:r>
      <w:r w:rsidR="002D466E">
        <w:t xml:space="preserve">0 et (2) d’étude de carottes de sédiments prélevées sur différents </w:t>
      </w:r>
      <w:r w:rsidR="00125FC9">
        <w:t xml:space="preserve">compartiments </w:t>
      </w:r>
      <w:r w:rsidR="00762885">
        <w:t xml:space="preserve">du lit </w:t>
      </w:r>
      <w:r w:rsidR="00125FC9">
        <w:t xml:space="preserve">majeur </w:t>
      </w:r>
      <w:r w:rsidR="00762885">
        <w:t xml:space="preserve">des fleuves. </w:t>
      </w:r>
    </w:p>
    <w:p w14:paraId="667CD07A" w14:textId="77777777" w:rsidR="00312E4C" w:rsidRPr="00911CDB" w:rsidRDefault="00312E4C" w:rsidP="00312E4C">
      <w:pPr>
        <w:rPr>
          <w:b/>
          <w:color w:val="244061" w:themeColor="accent1" w:themeShade="80"/>
          <w:sz w:val="28"/>
          <w:szCs w:val="28"/>
        </w:rPr>
      </w:pPr>
      <w:r w:rsidRPr="00911CDB">
        <w:rPr>
          <w:b/>
          <w:color w:val="244061" w:themeColor="accent1" w:themeShade="80"/>
          <w:sz w:val="28"/>
          <w:szCs w:val="28"/>
        </w:rPr>
        <w:t>M</w:t>
      </w:r>
      <w:r w:rsidR="00BA43D7" w:rsidRPr="00911CDB">
        <w:rPr>
          <w:b/>
          <w:color w:val="244061" w:themeColor="accent1" w:themeShade="80"/>
          <w:sz w:val="28"/>
          <w:szCs w:val="28"/>
        </w:rPr>
        <w:t>ots-</w:t>
      </w:r>
      <w:r w:rsidRPr="00911CDB">
        <w:rPr>
          <w:b/>
          <w:color w:val="244061" w:themeColor="accent1" w:themeShade="80"/>
          <w:sz w:val="28"/>
          <w:szCs w:val="28"/>
        </w:rPr>
        <w:t>C</w:t>
      </w:r>
      <w:r w:rsidR="00BA43D7" w:rsidRPr="00911CDB">
        <w:rPr>
          <w:b/>
          <w:color w:val="244061" w:themeColor="accent1" w:themeShade="80"/>
          <w:sz w:val="28"/>
          <w:szCs w:val="28"/>
        </w:rPr>
        <w:t>lés</w:t>
      </w:r>
    </w:p>
    <w:p w14:paraId="5D56D3CD" w14:textId="77777777" w:rsidR="001E66D7" w:rsidRDefault="002D68C9" w:rsidP="00312E4C">
      <w:r>
        <w:t>Grands fleuves français, sédiments, PCB indicateurs, trajectoires de contamination.</w:t>
      </w:r>
    </w:p>
    <w:p w14:paraId="6708467F" w14:textId="77777777" w:rsidR="00D43DEC" w:rsidRPr="00911CDB" w:rsidRDefault="00D43DEC" w:rsidP="00D43DEC">
      <w:pPr>
        <w:pageBreakBefore/>
        <w:spacing w:before="480"/>
        <w:rPr>
          <w:i/>
          <w:color w:val="FF0000"/>
          <w:sz w:val="28"/>
          <w:szCs w:val="28"/>
        </w:rPr>
      </w:pPr>
      <w:r w:rsidRPr="00911CDB">
        <w:rPr>
          <w:i/>
          <w:color w:val="FF0000"/>
          <w:sz w:val="28"/>
          <w:szCs w:val="28"/>
        </w:rPr>
        <w:lastRenderedPageBreak/>
        <w:t>Pour les communications orales (15 minutes)</w:t>
      </w:r>
      <w:r w:rsidR="00780C6A" w:rsidRPr="00911CDB">
        <w:rPr>
          <w:i/>
          <w:color w:val="FF0000"/>
          <w:sz w:val="28"/>
          <w:szCs w:val="28"/>
        </w:rPr>
        <w:t xml:space="preserve"> 4 pages </w:t>
      </w:r>
    </w:p>
    <w:p w14:paraId="43856CF9" w14:textId="77777777" w:rsidR="00221DA8" w:rsidRDefault="00221DA8" w:rsidP="00221DA8">
      <w:pPr>
        <w:pStyle w:val="Titre1"/>
        <w:numPr>
          <w:ilvl w:val="0"/>
          <w:numId w:val="0"/>
        </w:numPr>
        <w:spacing w:before="360"/>
        <w:ind w:left="432" w:hanging="432"/>
      </w:pPr>
      <w:r>
        <w:t>INTRODUCTION</w:t>
      </w:r>
    </w:p>
    <w:p w14:paraId="70B26971" w14:textId="64D867DF" w:rsidR="003A508A" w:rsidRDefault="00221DA8" w:rsidP="00221DA8">
      <w:pPr>
        <w:jc w:val="both"/>
      </w:pPr>
      <w:r>
        <w:t xml:space="preserve">Le </w:t>
      </w:r>
      <w:r w:rsidR="003A508A">
        <w:t xml:space="preserve">travail entrepris dans le cadre du </w:t>
      </w:r>
      <w:r w:rsidRPr="00AE2A92">
        <w:t>projet INTERPOL</w:t>
      </w:r>
      <w:r>
        <w:t xml:space="preserve"> (Intercomparaison de la pollution des fleuves français) cherche à comprendre et modéliser</w:t>
      </w:r>
      <w:r w:rsidRPr="00AE2A92">
        <w:t xml:space="preserve"> la contamination particulaire des </w:t>
      </w:r>
      <w:r>
        <w:t xml:space="preserve">4 </w:t>
      </w:r>
      <w:r w:rsidRPr="00AE2A92">
        <w:t xml:space="preserve">grands fleuves français : Loire, Rhône, Seine et Garonne. Ce travail a </w:t>
      </w:r>
      <w:r>
        <w:t xml:space="preserve">ainsi </w:t>
      </w:r>
      <w:r w:rsidRPr="00AE2A92">
        <w:t>pour objectif d’identif</w:t>
      </w:r>
      <w:r w:rsidR="00647005">
        <w:t>ier les tendances spatiales et</w:t>
      </w:r>
      <w:r w:rsidRPr="00AE2A92">
        <w:t xml:space="preserve"> temporelles liées </w:t>
      </w:r>
      <w:r>
        <w:t>aux</w:t>
      </w:r>
      <w:r w:rsidRPr="00AE2A92">
        <w:t xml:space="preserve"> famille</w:t>
      </w:r>
      <w:r>
        <w:t>s</w:t>
      </w:r>
      <w:r w:rsidRPr="00AE2A92">
        <w:t xml:space="preserve"> de contaminant</w:t>
      </w:r>
      <w:r>
        <w:t>s</w:t>
      </w:r>
      <w:r w:rsidRPr="00AE2A92">
        <w:t xml:space="preserve"> </w:t>
      </w:r>
      <w:r>
        <w:t>historiques</w:t>
      </w:r>
      <w:r w:rsidRPr="00221DA8">
        <w:t>.</w:t>
      </w:r>
      <w:r w:rsidRPr="00AE2A92">
        <w:t xml:space="preserve"> </w:t>
      </w:r>
    </w:p>
    <w:p w14:paraId="0783FDDA" w14:textId="71BA58B4" w:rsidR="00221DA8" w:rsidRPr="00C974A1" w:rsidRDefault="00762885" w:rsidP="00221DA8">
      <w:pPr>
        <w:jc w:val="both"/>
      </w:pPr>
      <w:r>
        <w:t>D</w:t>
      </w:r>
      <w:r w:rsidR="00221DA8">
        <w:t xml:space="preserve">ans le cadre de cette communication, </w:t>
      </w:r>
      <w:r>
        <w:t>nous nous intéressons</w:t>
      </w:r>
      <w:r w:rsidR="00221DA8">
        <w:t xml:space="preserve"> aux polychlorobiphényles</w:t>
      </w:r>
      <w:r w:rsidR="00221DA8" w:rsidRPr="00C974A1">
        <w:t xml:space="preserve"> (</w:t>
      </w:r>
      <w:r>
        <w:rPr>
          <w:rStyle w:val="ilfuvd"/>
        </w:rPr>
        <w:t>PCB</w:t>
      </w:r>
      <w:r w:rsidR="00221DA8" w:rsidRPr="00C974A1">
        <w:rPr>
          <w:rStyle w:val="ilfuvd"/>
        </w:rPr>
        <w:t>)</w:t>
      </w:r>
      <w:r>
        <w:rPr>
          <w:rStyle w:val="ilfuvd"/>
        </w:rPr>
        <w:t xml:space="preserve"> et en particulier </w:t>
      </w:r>
      <w:r w:rsidR="003A508A">
        <w:rPr>
          <w:rStyle w:val="ilfuvd"/>
        </w:rPr>
        <w:t>aux</w:t>
      </w:r>
      <w:r w:rsidR="00221DA8">
        <w:rPr>
          <w:rStyle w:val="ilfuvd"/>
        </w:rPr>
        <w:t xml:space="preserve"> </w:t>
      </w:r>
      <w:r>
        <w:rPr>
          <w:rStyle w:val="ilfuvd"/>
        </w:rPr>
        <w:t xml:space="preserve">7 </w:t>
      </w:r>
      <w:r w:rsidR="00221DA8" w:rsidRPr="00E76A78">
        <w:rPr>
          <w:rStyle w:val="ilfuvd"/>
        </w:rPr>
        <w:t>PCB indicateurs</w:t>
      </w:r>
      <w:r w:rsidR="00221DA8" w:rsidRPr="00C34493">
        <w:rPr>
          <w:rStyle w:val="ilfuvd"/>
        </w:rPr>
        <w:t xml:space="preserve"> (PCB</w:t>
      </w:r>
      <w:r>
        <w:rPr>
          <w:rStyle w:val="ilfuvd"/>
        </w:rPr>
        <w:t>i = PCB</w:t>
      </w:r>
      <w:r w:rsidR="00221DA8" w:rsidRPr="00C974A1">
        <w:rPr>
          <w:rStyle w:val="ilfuvd"/>
        </w:rPr>
        <w:t xml:space="preserve"> 28, 52, 101, 118, 138, </w:t>
      </w:r>
      <w:r>
        <w:rPr>
          <w:rStyle w:val="ilfuvd"/>
        </w:rPr>
        <w:t xml:space="preserve">153 et </w:t>
      </w:r>
      <w:r w:rsidR="00221DA8" w:rsidRPr="00C974A1">
        <w:rPr>
          <w:rStyle w:val="ilfuvd"/>
        </w:rPr>
        <w:t>180) qui forment un groupe de contaminant</w:t>
      </w:r>
      <w:r>
        <w:rPr>
          <w:rStyle w:val="ilfuvd"/>
        </w:rPr>
        <w:t>s</w:t>
      </w:r>
      <w:r w:rsidR="00221DA8" w:rsidRPr="00C974A1">
        <w:rPr>
          <w:rStyle w:val="ilfuvd"/>
        </w:rPr>
        <w:t xml:space="preserve"> </w:t>
      </w:r>
      <w:r w:rsidR="00D0153D">
        <w:rPr>
          <w:rStyle w:val="ilfuvd"/>
        </w:rPr>
        <w:t>persistants</w:t>
      </w:r>
      <w:r w:rsidR="00221DA8" w:rsidRPr="00C974A1">
        <w:rPr>
          <w:rStyle w:val="ilfuvd"/>
        </w:rPr>
        <w:t xml:space="preserve">. </w:t>
      </w:r>
      <w:r w:rsidR="00647005">
        <w:rPr>
          <w:rStyle w:val="ilfuvd"/>
        </w:rPr>
        <w:t>C</w:t>
      </w:r>
      <w:r w:rsidR="00221DA8" w:rsidRPr="00C974A1">
        <w:rPr>
          <w:rStyle w:val="ilfuvd"/>
        </w:rPr>
        <w:t>es derniers</w:t>
      </w:r>
      <w:r>
        <w:rPr>
          <w:rStyle w:val="ilfuvd"/>
        </w:rPr>
        <w:t xml:space="preserve"> ont été utilisés </w:t>
      </w:r>
      <w:r w:rsidR="003A508A">
        <w:rPr>
          <w:rStyle w:val="ilfuvd"/>
        </w:rPr>
        <w:t>comme</w:t>
      </w:r>
      <w:r w:rsidR="00221DA8">
        <w:rPr>
          <w:rStyle w:val="ilfuvd"/>
        </w:rPr>
        <w:t xml:space="preserve"> </w:t>
      </w:r>
      <w:r w:rsidR="00221DA8" w:rsidRPr="00A0208E">
        <w:rPr>
          <w:rStyle w:val="ilfuvd"/>
        </w:rPr>
        <w:t>conduct</w:t>
      </w:r>
      <w:r w:rsidR="00221DA8">
        <w:rPr>
          <w:rStyle w:val="ilfuvd"/>
        </w:rPr>
        <w:t>eur</w:t>
      </w:r>
      <w:r w:rsidR="00221DA8" w:rsidRPr="00A0208E">
        <w:rPr>
          <w:rStyle w:val="ilfuvd"/>
        </w:rPr>
        <w:t xml:space="preserve"> thermique</w:t>
      </w:r>
      <w:r w:rsidR="00221DA8">
        <w:rPr>
          <w:rStyle w:val="ilfuvd"/>
        </w:rPr>
        <w:t xml:space="preserve"> </w:t>
      </w:r>
      <w:r>
        <w:rPr>
          <w:rStyle w:val="ilfuvd"/>
        </w:rPr>
        <w:t xml:space="preserve">dans les transformateurs électriques </w:t>
      </w:r>
      <w:r w:rsidR="00221DA8">
        <w:rPr>
          <w:rStyle w:val="ilfuvd"/>
        </w:rPr>
        <w:t xml:space="preserve">et </w:t>
      </w:r>
      <w:r w:rsidR="00221DA8" w:rsidRPr="00C974A1">
        <w:rPr>
          <w:rStyle w:val="ilfuvd"/>
        </w:rPr>
        <w:t>comme additifs dans le papier, le</w:t>
      </w:r>
      <w:r>
        <w:rPr>
          <w:rStyle w:val="ilfuvd"/>
        </w:rPr>
        <w:t xml:space="preserve">s encres ou les ciments dès 1930 en Europe </w:t>
      </w:r>
      <w:r w:rsidR="00221DA8" w:rsidRPr="00C974A1">
        <w:rPr>
          <w:rStyle w:val="ilfuvd"/>
        </w:rPr>
        <w:t xml:space="preserve">et aux </w:t>
      </w:r>
      <w:r w:rsidR="00221DA8" w:rsidRPr="004668A0">
        <w:rPr>
          <w:rStyle w:val="ilfuvd"/>
        </w:rPr>
        <w:t>Etats-Unis</w:t>
      </w:r>
      <w:r w:rsidR="0087600F">
        <w:rPr>
          <w:rStyle w:val="ilfuvd"/>
        </w:rPr>
        <w:t xml:space="preserve"> </w:t>
      </w:r>
      <w:r w:rsidR="0087600F">
        <w:rPr>
          <w:rStyle w:val="ilfuvd"/>
        </w:rPr>
        <w:fldChar w:fldCharType="begin"/>
      </w:r>
      <w:r w:rsidR="0087600F">
        <w:rPr>
          <w:rStyle w:val="ilfuvd"/>
        </w:rPr>
        <w:instrText xml:space="preserve"> ADDIN ZOTERO_ITEM CSL_CITATION {"citationID":"9byqTc51","properties":{"formattedCitation":"(De Voogt and Brinkman, 1989; Breivik et al., 2002)","plainCitation":"(De Voogt and Brinkman, 1989; Breivik et al., 2002)","noteIndex":0},"citationItems":[{"id":1987,"uris":["http://zotero.org/users/local/LwISom1x/items/3WIBPUQ5"],"uri":["http://zotero.org/users/local/LwISom1x/items/3WIBPUQ5"],"itemData":{"id":1987,"type":"chapter","title":"Production, properties and usage of polychlorinated biphenyls","container-title":"Halogenated biphenyls. terphenyls, naphthalenes, dibenzodioxins and related products","publisher":"Elsevier Science Publishers B.V (Biomedical Division)","page":"3-45","author":[{"family":"De Voogt","given":"P"},{"family":"Brinkman","given":"U.A.T."}],"editor":[{"family":"Kimbrough","given":"R.D."},{"family":"Jensen","given":"A.A."}],"issued":{"date-parts":[["1989"]]}}},{"id":1988,"uris":["http://zotero.org/users/local/LwISom1x/items/99AVJF2M"],"uri":["http://zotero.org/users/local/LwISom1x/items/99AVJF2M"],"itemData":{"id":1988,"type":"article-journal","title":"Towards a global historical emission inventory for selected PCB congeners — a mass balance approach: 1. Global production and consumption","container-title":"Science of The Total Environment","page":"181-198","volume":"290","issue":"1","source":"ScienceDirect","abstract":"Information on the historical global production and consumption of polychlorinated biphenyls (PCBs) is urgently needed for estimating PCB fluxes to the environment and for interpreting global contamination patterns by these pollutants. This study presents the methodology, principal uncertainties and selected results from an inventory, aiming to quantify the global production and consumption of total PCBs as well as 22 PCB congeners. The available data on the historical production of PCBs and the chemical composition of various technical mixtures have been compiled from the literature. For some producers with less detailed information, the production of individual PCB constituents has been estimated to derive a global estimate for individual homologues and selected congeners. Information on imports, exports and consumption, as well as restrictions on production and imports, has further been compiled for individual countries. These data, along with assumptions on the trade between countries and regions, have been utilised to derive an estimate of the global historical consumption pattern. Although there are substantial uncertainties involved in these estimates, important aspects governing the large scale temporal and spatial patterns are most likely captured in these estimates. In particular, the information on imports and exports for the principal users of PCBs around the time of peak production is considered to be fairly reliable. The estimates account for a reported historical global production of </w:instrText>
      </w:r>
      <w:r w:rsidR="0087600F">
        <w:rPr>
          <w:rStyle w:val="ilfuvd"/>
          <w:rFonts w:ascii="Cambria Math" w:hAnsi="Cambria Math" w:cs="Cambria Math"/>
        </w:rPr>
        <w:instrText>∼</w:instrText>
      </w:r>
      <w:r w:rsidR="0087600F">
        <w:rPr>
          <w:rStyle w:val="ilfuvd"/>
        </w:rPr>
        <w:instrText xml:space="preserve">1.3 million t PCBs, more than 70% of which are tri-, tetra- and pentachlorinated biphenyls. The results further suggest that almost 97% of the global historical use of PCBs have occurred in the Northern Hemisphere.","DOI":"10.1016/S0048-9697(01)01075-0","ISSN":"0048-9697","shortTitle":"Towards a global historical emission inventory for selected PCB congeners — a mass balance approach","journalAbbreviation":"Science of The Total Environment","author":[{"family":"Breivik","given":"Knut"},{"family":"Sweetman","given":"Andy"},{"family":"Pacyna","given":"Jozef M"},{"family":"Jones","given":"Kevin C"}],"issued":{"date-parts":[["2002",5,6]]}}}],"schema":"https://github.com/citation-style-language/schema/raw/master/csl-citation.json"} </w:instrText>
      </w:r>
      <w:r w:rsidR="0087600F">
        <w:rPr>
          <w:rStyle w:val="ilfuvd"/>
        </w:rPr>
        <w:fldChar w:fldCharType="separate"/>
      </w:r>
      <w:r w:rsidR="0087600F" w:rsidRPr="0087600F">
        <w:t>(Breivik et al., 2002)</w:t>
      </w:r>
      <w:r w:rsidR="0087600F">
        <w:rPr>
          <w:rStyle w:val="ilfuvd"/>
        </w:rPr>
        <w:fldChar w:fldCharType="end"/>
      </w:r>
      <w:r w:rsidR="00221DA8" w:rsidRPr="004668A0">
        <w:t xml:space="preserve">. </w:t>
      </w:r>
      <w:r>
        <w:t>Les PCBi, peu solubles dans l’eau,</w:t>
      </w:r>
      <w:r w:rsidR="00221DA8" w:rsidRPr="00327798">
        <w:t xml:space="preserve"> </w:t>
      </w:r>
      <w:r>
        <w:t>sont stockés</w:t>
      </w:r>
      <w:r w:rsidR="00221DA8" w:rsidRPr="00327798">
        <w:t xml:space="preserve"> </w:t>
      </w:r>
      <w:r>
        <w:t xml:space="preserve">dans les sédiments fluviaux et bio-accumulés </w:t>
      </w:r>
      <w:r w:rsidR="003A508A">
        <w:t>par de</w:t>
      </w:r>
      <w:r w:rsidR="00221DA8" w:rsidRPr="00327798">
        <w:t xml:space="preserve"> nombreuses espèces </w:t>
      </w:r>
      <w:r>
        <w:t>aquatiques</w:t>
      </w:r>
      <w:r w:rsidR="00D0153D">
        <w:t xml:space="preserve">. </w:t>
      </w:r>
      <w:r w:rsidR="003A508A">
        <w:t>Les PCB</w:t>
      </w:r>
      <w:r>
        <w:t xml:space="preserve"> sont interdits à la production et à la vente en France depuis 1987, néanmoins, e</w:t>
      </w:r>
      <w:r w:rsidR="00221DA8" w:rsidRPr="00C974A1">
        <w:t xml:space="preserve">n raison de leur persistance au cours du temps, les </w:t>
      </w:r>
      <w:r w:rsidR="00221DA8">
        <w:t xml:space="preserve">niveaux de </w:t>
      </w:r>
      <w:r w:rsidR="00221DA8" w:rsidRPr="00C974A1">
        <w:t>PCB</w:t>
      </w:r>
      <w:r w:rsidR="00221DA8">
        <w:t>s</w:t>
      </w:r>
      <w:r w:rsidR="00221DA8" w:rsidRPr="00C974A1">
        <w:t xml:space="preserve"> dans l’environnement font l’objet d’un suivi </w:t>
      </w:r>
      <w:r w:rsidR="003A508A">
        <w:t xml:space="preserve">dans </w:t>
      </w:r>
      <w:r w:rsidR="00647005">
        <w:t xml:space="preserve">l’eau et </w:t>
      </w:r>
      <w:r w:rsidR="003A508A">
        <w:t xml:space="preserve">les </w:t>
      </w:r>
      <w:r w:rsidR="00221DA8" w:rsidRPr="00C974A1">
        <w:t xml:space="preserve">sédiments de façon plus ou moins continue depuis les années 1980. Le couplage de ces suivis </w:t>
      </w:r>
      <w:r w:rsidR="003A508A">
        <w:t>avec l’analyse d’</w:t>
      </w:r>
      <w:r>
        <w:t xml:space="preserve">archives sédimentaires </w:t>
      </w:r>
      <w:r w:rsidR="00221DA8" w:rsidRPr="00C974A1">
        <w:t>appor</w:t>
      </w:r>
      <w:r>
        <w:t xml:space="preserve">te une profondeur temporelle </w:t>
      </w:r>
      <w:r w:rsidR="00221DA8" w:rsidRPr="00C974A1">
        <w:t>essentiel</w:t>
      </w:r>
      <w:r w:rsidR="003B169B">
        <w:t>le</w:t>
      </w:r>
      <w:r w:rsidR="00221DA8" w:rsidRPr="00C974A1">
        <w:t xml:space="preserve"> pour comprendre les dynamiques actuelles et futures d’accumulation et de transfert des stocks de polluants contenus dans les systèmes fluviaux.</w:t>
      </w:r>
    </w:p>
    <w:p w14:paraId="6DAE59F3" w14:textId="77777777" w:rsidR="00F73FBD" w:rsidRPr="00911CDB" w:rsidRDefault="00762885" w:rsidP="00D43DEC">
      <w:pPr>
        <w:pStyle w:val="Titre1"/>
        <w:spacing w:before="360"/>
        <w:ind w:left="431" w:hanging="431"/>
      </w:pPr>
      <w:r>
        <w:t>Matériel et méthodes</w:t>
      </w:r>
    </w:p>
    <w:p w14:paraId="54BDC39A" w14:textId="77777777" w:rsidR="00762885" w:rsidRDefault="00762885" w:rsidP="00762885">
      <w:pPr>
        <w:pStyle w:val="Titre2"/>
      </w:pPr>
      <w:r w:rsidRPr="00C974A1">
        <w:t xml:space="preserve">Systèmes fluviaux </w:t>
      </w:r>
      <w:r w:rsidR="00952AD4">
        <w:t>et données récoltées</w:t>
      </w:r>
    </w:p>
    <w:p w14:paraId="0F05BC65" w14:textId="77777777" w:rsidR="003A508A" w:rsidRDefault="003A508A" w:rsidP="003B169B">
      <w:pPr>
        <w:jc w:val="both"/>
      </w:pPr>
    </w:p>
    <w:p w14:paraId="6A19332C" w14:textId="6E53BAA2" w:rsidR="003B169B" w:rsidRDefault="00952AD4" w:rsidP="003B169B">
      <w:pPr>
        <w:jc w:val="both"/>
      </w:pPr>
      <w:r>
        <w:t xml:space="preserve">Notre recherche concerne les sédiments stockés dans le lit </w:t>
      </w:r>
      <w:r w:rsidR="00276EFD">
        <w:t xml:space="preserve">majeur </w:t>
      </w:r>
      <w:r>
        <w:t>ou transitant (matières en suspension – MES) dans les cours d’eau du Rhône, de la Loire, de la Seine et de la Garonne, d’amont en aval</w:t>
      </w:r>
      <w:r w:rsidR="003B169B">
        <w:t xml:space="preserve"> (Fig. 1)</w:t>
      </w:r>
      <w:r>
        <w:t>. Les analyses de polluants sur ces matrices sédimentaires (</w:t>
      </w:r>
      <w:r w:rsidRPr="00C974A1">
        <w:t>s</w:t>
      </w:r>
      <w:r>
        <w:t xml:space="preserve">édiments et MES) proviennent du réseau </w:t>
      </w:r>
      <w:r w:rsidRPr="00052EDC">
        <w:t xml:space="preserve">de contrôle de surveillance (RCS) </w:t>
      </w:r>
      <w:r>
        <w:t xml:space="preserve">de la qualité des cours d’eau coordonné </w:t>
      </w:r>
      <w:r w:rsidRPr="00C974A1">
        <w:t>à l’échelle nationale par les Agence</w:t>
      </w:r>
      <w:r>
        <w:t>s</w:t>
      </w:r>
      <w:r w:rsidRPr="00C974A1">
        <w:t xml:space="preserve"> de l’Eau </w:t>
      </w:r>
      <w:r>
        <w:t>(</w:t>
      </w:r>
      <w:hyperlink r:id="rId11" w:history="1">
        <w:r w:rsidRPr="007103B4">
          <w:rPr>
            <w:rStyle w:val="Lienhypertexte"/>
          </w:rPr>
          <w:t>http://www.lesagencesdeleau.fr</w:t>
        </w:r>
      </w:hyperlink>
      <w:r>
        <w:t>)</w:t>
      </w:r>
      <w:r w:rsidRPr="00C974A1">
        <w:t xml:space="preserve">. </w:t>
      </w:r>
      <w:r w:rsidR="003A508A">
        <w:t xml:space="preserve">Si des </w:t>
      </w:r>
      <w:r>
        <w:t xml:space="preserve">campagnes de </w:t>
      </w:r>
      <w:r w:rsidRPr="00C974A1">
        <w:t xml:space="preserve">prélèvement </w:t>
      </w:r>
      <w:r w:rsidR="003A508A">
        <w:t xml:space="preserve">et </w:t>
      </w:r>
      <w:r w:rsidR="003A508A" w:rsidRPr="005F7315">
        <w:t xml:space="preserve">d’analyses ont été </w:t>
      </w:r>
      <w:r w:rsidRPr="005F7315">
        <w:t>menées depuis la fin des années 1970</w:t>
      </w:r>
      <w:r w:rsidR="003A508A" w:rsidRPr="005F7315">
        <w:t xml:space="preserve">, </w:t>
      </w:r>
      <w:r w:rsidR="003B169B" w:rsidRPr="005F7315">
        <w:t>d</w:t>
      </w:r>
      <w:r w:rsidRPr="005F7315">
        <w:t xml:space="preserve">es discontinuités temporelles et spatiales existent </w:t>
      </w:r>
      <w:r w:rsidR="003A508A" w:rsidRPr="005F7315">
        <w:t>néanmoins</w:t>
      </w:r>
      <w:r w:rsidRPr="005F7315">
        <w:t xml:space="preserve"> : </w:t>
      </w:r>
      <w:r w:rsidR="00E36F66" w:rsidRPr="005F7315">
        <w:t>suivi d</w:t>
      </w:r>
      <w:r w:rsidRPr="005F7315">
        <w:t>es sédiments et les MES de la Seine dès 1976</w:t>
      </w:r>
      <w:r w:rsidR="00E36F66" w:rsidRPr="005F7315">
        <w:t xml:space="preserve">, à partir de </w:t>
      </w:r>
      <w:r w:rsidRPr="005F7315">
        <w:t xml:space="preserve">1981 </w:t>
      </w:r>
      <w:r w:rsidR="00E36F66" w:rsidRPr="005F7315">
        <w:t>en Loire et en Garonne</w:t>
      </w:r>
      <w:r w:rsidRPr="005F7315">
        <w:t xml:space="preserve"> </w:t>
      </w:r>
      <w:r w:rsidR="00E36F66" w:rsidRPr="005F7315">
        <w:t>mais seulement</w:t>
      </w:r>
      <w:r w:rsidR="00E36F66">
        <w:t xml:space="preserve"> après </w:t>
      </w:r>
      <w:r w:rsidR="00276EFD" w:rsidRPr="00C974A1">
        <w:t>1995</w:t>
      </w:r>
      <w:r w:rsidR="00276EFD">
        <w:t xml:space="preserve"> </w:t>
      </w:r>
      <w:r w:rsidR="00E36F66">
        <w:t>pour les sédiments du Rhône par exemple</w:t>
      </w:r>
      <w:r w:rsidR="003B169B">
        <w:t xml:space="preserve">. </w:t>
      </w:r>
      <w:r w:rsidR="00E36F66">
        <w:t xml:space="preserve">Nous avons également intégré </w:t>
      </w:r>
      <w:r w:rsidRPr="00C974A1">
        <w:t xml:space="preserve">des </w:t>
      </w:r>
      <w:r w:rsidR="003B169B">
        <w:t>mesures</w:t>
      </w:r>
      <w:r w:rsidRPr="00C974A1">
        <w:t xml:space="preserve"> </w:t>
      </w:r>
      <w:r w:rsidR="00276EFD">
        <w:t xml:space="preserve">réalisées </w:t>
      </w:r>
      <w:r w:rsidRPr="00C974A1">
        <w:t>ponctuelle</w:t>
      </w:r>
      <w:r w:rsidR="00276EFD">
        <w:t xml:space="preserve">ment par des gestionnaires </w:t>
      </w:r>
      <w:r w:rsidR="003B169B">
        <w:t>sur sédiments</w:t>
      </w:r>
      <w:r w:rsidR="00647005">
        <w:t xml:space="preserve"> : </w:t>
      </w:r>
      <w:r w:rsidR="00E36F66">
        <w:t>campa</w:t>
      </w:r>
      <w:r w:rsidR="003B169B">
        <w:t xml:space="preserve">gnes </w:t>
      </w:r>
      <w:r w:rsidR="00647005">
        <w:t xml:space="preserve">de l’IFREMER, </w:t>
      </w:r>
      <w:r w:rsidR="003B169B">
        <w:t xml:space="preserve">dragages </w:t>
      </w:r>
      <w:r w:rsidR="00E36F66">
        <w:t>localisés (Port de Rouen, Compagnie Nationale du Rhône, etc.).</w:t>
      </w:r>
    </w:p>
    <w:p w14:paraId="63CD1FEF" w14:textId="77777777" w:rsidR="001C1DBC" w:rsidRDefault="001C1DBC" w:rsidP="003B169B">
      <w:pPr>
        <w:jc w:val="both"/>
      </w:pPr>
    </w:p>
    <w:p w14:paraId="4F4F04D1" w14:textId="77777777" w:rsidR="005F7315" w:rsidRDefault="0087600F" w:rsidP="001C1DBC">
      <w:pPr>
        <w:pStyle w:val="Legendes"/>
        <w:rPr>
          <w:highlight w:val="yellow"/>
        </w:rPr>
      </w:pPr>
      <w:r w:rsidRPr="005F7315">
        <w:object w:dxaOrig="7755" w:dyaOrig="6600" w14:anchorId="1363F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68.5pt" o:ole="">
            <v:imagedata r:id="rId12" o:title=""/>
          </v:shape>
          <o:OLEObject Type="Embed" ProgID="AcroExch.Document.7" ShapeID="_x0000_i1025" DrawAspect="Content" ObjectID="_1622876083" r:id="rId13"/>
        </w:object>
      </w:r>
    </w:p>
    <w:p w14:paraId="25789C78" w14:textId="7EA9B36D" w:rsidR="001C1DBC" w:rsidRDefault="001C1DBC" w:rsidP="001C1DBC">
      <w:pPr>
        <w:pStyle w:val="Legendes"/>
      </w:pPr>
      <w:r w:rsidRPr="005F7315">
        <w:t xml:space="preserve">Figure </w:t>
      </w:r>
      <w:fldSimple w:instr=" SEQ Figure \* ARABIC ">
        <w:r w:rsidR="000462BD">
          <w:rPr>
            <w:noProof/>
          </w:rPr>
          <w:t>1</w:t>
        </w:r>
      </w:fldSimple>
      <w:r w:rsidRPr="005F7315">
        <w:t xml:space="preserve">: </w:t>
      </w:r>
      <w:r w:rsidR="005F7315" w:rsidRPr="005F7315">
        <w:t>R</w:t>
      </w:r>
      <w:r w:rsidRPr="005F7315">
        <w:t xml:space="preserve">épartition des stations de mesures et archives sédimentaires </w:t>
      </w:r>
      <w:r w:rsidR="005F7315" w:rsidRPr="005F7315">
        <w:t>présentant des données PCB sur les différents bassins versants</w:t>
      </w:r>
      <w:r w:rsidRPr="00023C9D">
        <w:t xml:space="preserve"> </w:t>
      </w:r>
    </w:p>
    <w:p w14:paraId="1F177991" w14:textId="77777777" w:rsidR="00BD03A1" w:rsidRDefault="00BD03A1" w:rsidP="00BA0D68">
      <w:pPr>
        <w:jc w:val="both"/>
      </w:pPr>
    </w:p>
    <w:p w14:paraId="629F7E93" w14:textId="1FE9CF85" w:rsidR="00952AD4" w:rsidRDefault="00E36F66" w:rsidP="00BA0D68">
      <w:pPr>
        <w:jc w:val="both"/>
      </w:pPr>
      <w:r>
        <w:t>A</w:t>
      </w:r>
      <w:r w:rsidR="00952AD4" w:rsidRPr="00C974A1">
        <w:t xml:space="preserve"> ces données </w:t>
      </w:r>
      <w:r w:rsidR="00952AD4">
        <w:t xml:space="preserve">s’ajoutent des mesures </w:t>
      </w:r>
      <w:r>
        <w:t xml:space="preserve">sur </w:t>
      </w:r>
      <w:r w:rsidR="00952AD4" w:rsidRPr="00C974A1">
        <w:t xml:space="preserve">archives </w:t>
      </w:r>
      <w:r w:rsidR="00952AD4" w:rsidRPr="00B2189C">
        <w:t xml:space="preserve">sédimentaires prélevées par carottage par les équipes de recherche du consortium </w:t>
      </w:r>
      <w:r w:rsidR="00952AD4" w:rsidRPr="00701119">
        <w:t>INTERPOL (</w:t>
      </w:r>
      <w:r w:rsidR="003B169B" w:rsidRPr="00701119">
        <w:t>Fig. 1</w:t>
      </w:r>
      <w:r w:rsidR="00952AD4" w:rsidRPr="00701119">
        <w:t>)</w:t>
      </w:r>
      <w:r w:rsidR="003B169B" w:rsidRPr="00701119">
        <w:rPr>
          <w:rStyle w:val="Appelnotedebasdep"/>
        </w:rPr>
        <w:footnoteReference w:customMarkFollows="1" w:id="2"/>
        <w:t>1</w:t>
      </w:r>
      <w:r w:rsidR="00952AD4" w:rsidRPr="00701119">
        <w:t>.</w:t>
      </w:r>
      <w:r w:rsidR="00952AD4" w:rsidRPr="00B2189C">
        <w:t xml:space="preserve"> </w:t>
      </w:r>
      <w:r w:rsidR="00BA0D68">
        <w:t>Au sein des fleuves étudiés, c’est actuellement l</w:t>
      </w:r>
      <w:r w:rsidR="00232328">
        <w:t xml:space="preserve">e </w:t>
      </w:r>
      <w:r w:rsidR="00232328" w:rsidRPr="005F7315">
        <w:t>corridor du</w:t>
      </w:r>
      <w:r w:rsidR="00952AD4" w:rsidRPr="005F7315">
        <w:t xml:space="preserve"> Rhône </w:t>
      </w:r>
      <w:r w:rsidRPr="005F7315">
        <w:t>qui rassemble le plus de données sur les PCBs d</w:t>
      </w:r>
      <w:r w:rsidR="00232328" w:rsidRPr="005F7315">
        <w:t>e l’amont à l’aval du fleuve</w:t>
      </w:r>
      <w:r w:rsidR="005F7315">
        <w:t xml:space="preserve"> </w:t>
      </w:r>
      <w:r w:rsidR="005F7315">
        <w:fldChar w:fldCharType="begin"/>
      </w:r>
      <w:r w:rsidR="005F7315">
        <w:instrText xml:space="preserve"> ADDIN ZOTERO_ITEM CSL_CITATION {"citationID":"Y37ZjJ2x","properties":{"formattedCitation":"(Desmet et al., 2012; Mourier et al., 2014)","plainCitation":"(Desmet et al., 2012; Mourier et al., 2014)","noteIndex":0},"citationItems":[{"id":1975,"uris":["http://zotero.org/users/local/LwISom1x/items/TS8PIRKK"],"uri":["http://zotero.org/users/local/LwISom1x/items/TS8PIRKK"],"itemData":{"id":1975,"type":"article-journal","title":"Spatial and temporal trends in PCBs in sediment along the lower Rhône River, France","container-title":"Science of The Total Environment","page":"189-197","volume":"433","source":"ScienceDirect","abstract":"Despite increasingly strict control of polychlorinated biphenyl (PCB) releases in France since the mid-1970s, PCB contamination of fish recently has emerged as a major concern in the lower Rhône River basin. We measured PCB concentrations in Rhône sediment to evaluate the effects of PCB releases from major urban and industrial areas, sediment redistribution by large floods, and regulatory controls on PCB trends from 1970 to present. Profiles of PCBs (the sum of seven indicator PCB congeners) were reconstructed from sediment cores collected from an off-river rural reference site and from three depositional areas along the Rhône upstream and downstream from the city of Lyon, France. Core chronology was determined from radionuclide profiles and flood deposits. PCB concentrations increased progressively in the downstream direction, and reached a maximum concentration in 1991 of 281μg/kg at the most downstream site. At the rural reference site and at the upstream Rhône site, PCB concentrations peaked in the 1970s (maximum concentration of 13 and 78μg/kg, respectively) and have decreased exponentially since then. PCB concentrations in the middle and downstream cores were elevated into the early 1990s, decreased very rapidly until 2000, and since then have remained relatively stable. Congener profiles for three time windows (1965–80, 1986–93, and 2000–08) were similar in the three sediment cores from the Rhône and different from those at the rural reference site. The results indicate that permitted discharges from a hazardous-waste treatment facility upstream from Lyon might have contributed to high concentrations into the 1980-90s, but that industrial discharges from the greater Lyon area and tributaries to the Rhône near Lyon have had a greater contribution since the 1990s. There is little indication that PCB concentration in sediments downstream from Lyon will decrease over at least the short term.","DOI":"10.1016/j.scitotenv.2012.06.044","ISSN":"0048-9697","journalAbbreviation":"Science of The Total Environment","author":[{"family":"Desmet","given":"Marc"},{"family":"Mourier","given":"Brice"},{"family":"Mahler","given":"Barbara J."},{"family":"Van Metre","given":"Peter C."},{"family":"Roux","given":"Gwenaëlle"},{"family":"Persat","given":"Henri"},{"family":"Lefèvre","given":"Irène"},{"family":"Peretti","given":"Annie"},{"family":"Chapron","given":"Emmanuel"},{"family":"Simonneau","given":"Anaëlle"},{"family":"Miège","given":"Cécile"},{"family":"Babut","given":"Marc"}],"issued":{"date-parts":[["2012",9,1]]}}},{"id":661,"uris":["http://zotero.org/users/local/LwISom1x/items/HSH2TFIQ"],"uri":["http://zotero.org/users/local/LwISom1x/items/HSH2TFIQ"],"itemData":{"id":661,"type":"article-journal","title":"Historical records, sources, and spatial trends of PCBs along the Rhône River (France)","container-title":"Science of The Total Environment","page":"568-576","volume":"476-477","source":"ScienceDirect","abstract":"Despite bans on PCB use since 1975 (open systems) and 1987 (closed systems), concentrations of PCBs in riverine fish in France continue to exceed regulatory levels. We present historical records of PCB concentrations in sediment cores from eight sites on the Rhône River, from Lake Geneva to the Mediterranean Sea. Maximum PCB concentrations (sum of seven indicator PCBs) increase downstream, from 11.50μg/kg at the most upstream site to 417.1μg/kg at the most downstream site. At some sites peak concentrations occur in sediment deposited as recently as the 2000s. Hierarchical clustering (five clusters) identified differences in PCB congener profiles within and between sites. Exponential models fit to decadal time windows indicate that rapid reductions in concentrations during about 1990–2000 have slowed, and that it might be decades before target concentrations in sediment that correspond to regulatory thresholds in fish will be reached at some sites.","DOI":"10.1016/j.scitotenv.2014.01.026","ISSN":"0048-9697","journalAbbreviation":"Science of The Total Environment","author":[{"family":"Mourier","given":"Brice"},{"family":"Desmet","given":"Marc"},{"family":"Van Metre","given":"Peter C."},{"family":"Mahler","given":"Barbara J."},{"family":"Perrodin","given":"Yves"},{"family":"Roux","given":"Gwenaëlle"},{"family":"Bedell","given":"Jean-Philippe"},{"family":"Lefèvre","given":"Irène"},{"family":"Babut","given":"Marc"}],"issued":{"date-parts":[["2014",4,1]]}}}],"schema":"https://github.com/citation-style-language/schema/raw/master/csl-citation.json"} </w:instrText>
      </w:r>
      <w:r w:rsidR="005F7315">
        <w:fldChar w:fldCharType="separate"/>
      </w:r>
      <w:r w:rsidR="005F7315" w:rsidRPr="005F7315">
        <w:t>(Desmet et al., 2012; Mourier et al., 2014)</w:t>
      </w:r>
      <w:r w:rsidR="005F7315">
        <w:fldChar w:fldCharType="end"/>
      </w:r>
      <w:r w:rsidR="00232328" w:rsidRPr="005F7315">
        <w:t>.</w:t>
      </w:r>
      <w:r w:rsidR="00952AD4" w:rsidRPr="005F7315">
        <w:t xml:space="preserve"> </w:t>
      </w:r>
      <w:r w:rsidR="00BA0D68" w:rsidRPr="005F7315">
        <w:t xml:space="preserve">Sur les autres fleuves, les analyses sont réparties à des endroits stratégiques comme sur la Loire Amont et Aval </w:t>
      </w:r>
      <w:r w:rsidR="00276EFD">
        <w:t>(</w:t>
      </w:r>
      <w:r w:rsidR="00276EFD" w:rsidRPr="005F7315">
        <w:t>Grosbois et al., 2012</w:t>
      </w:r>
      <w:r w:rsidR="00276EFD">
        <w:t xml:space="preserve">) </w:t>
      </w:r>
      <w:r w:rsidRPr="005F7315">
        <w:t>ou en</w:t>
      </w:r>
      <w:r w:rsidR="00BA0D68" w:rsidRPr="005F7315">
        <w:t xml:space="preserve"> Seine</w:t>
      </w:r>
      <w:r w:rsidR="005F7315">
        <w:t xml:space="preserve"> Aval </w:t>
      </w:r>
      <w:r w:rsidR="005F7315">
        <w:fldChar w:fldCharType="begin"/>
      </w:r>
      <w:r w:rsidR="005F7315">
        <w:instrText xml:space="preserve"> ADDIN ZOTERO_ITEM CSL_CITATION {"citationID":"CkugZVck","properties":{"formattedCitation":"(Grosbois et al., 2012; Lorgeoux et al., 2016)","plainCitation":"(Grosbois et al., 2012; Lorgeoux et al., 2016)","noteIndex":0},"citationItems":[{"id":1972,"uris":["http://zotero.org/users/local/LwISom1x/items/GYCHTMLL"],"uri":["http://zotero.org/users/local/LwISom1x/items/GYCHTMLL"],"itemData":{"id":1972,"type":"article-journal","title":"Severe and contrasted polymetallic contamination patterns (1900–2009) in the Loire River sediments (France)","container-title":"Science of The Total Environment","page":"290-305","volume":"435-436","source":"ScienceDirect","abstract":"The Loire River basin (117,800km2, France) has been exposed to multiple sources of metals during the last 150years, originating from major mining districts (coal and non-ferrous metals) and their associated industrial activities. Geochemical archives are established here from the analysis of a 4m sediment core in the downstream floodplain and then compared to stream bed sediments from pristine monolithological sub-basins and from bed and bank sediments in impacted tributaries. The contamination is assessed for 55 major and trace elements through their enrichment factors to Al (EF), normalized to the pre-anthropogenic background. Archives from 1900 to 2009 show enrichment (EF&lt;1.3) not only for Ba, Be, Cs, Ga, Rb, REE, Sr, V, and Zr but also for U and Th, despite U mining activities until the 1990s. From 1900 to 1950, the level of contamination is severe for Hg, Au, Ag (10&lt;EF&lt;30), important for Sb and Sn (3&lt;EF&lt;7) and moderate for Cu, Pb and Zn (1.5&lt;EF&lt;3). This state was mostly attributed to coal uses and metal mining. During the period 1950–1980, severe polymetallic contamination is noted for Hg (EF up to 53), Cd (23), Ag (18), Zn (6.2), Cu (6.0), Sn (5.6), Pb(4.8), Sb(4.4) and for new impacted elements as Bi (23.8), As (3.7), Cr (3.4), W (3.1), Mo (2.6), Ni (2.8), Co (1.65) due to mines, smelters, industries and from urban sewers, collected mostly after 1950 (total population of 8.4million people). The limited dilution by detrital material (Loire sediment load about 1.5Mt/year) is an additional cause of such severe contamination. After 1950, river eutrophication is well marked by the general increase of endogenic calcite (EF (Ca)=4), diluting all other elements by 20%. From 1980 to 2009, all contaminants, except Au (EF=100), decrease steadily.","DOI":"10.1016/j.scitotenv.2012.06.056","ISSN":"0048-9697","journalAbbreviation":"Science of The Total Environment","author":[{"family":"Grosbois","given":"C."},{"family":"Meybeck","given":"M."},{"family":"Lestel","given":"L."},{"family":"Lefèvre","given":"I."},{"family":"Moatar","given":"F."}],"issued":{"date-parts":[["2012",10,1]]}}},{"id":1978,"uris":["http://zotero.org/users/local/LwISom1x/items/TD2LGHHD"],"uri":["http://zotero.org/users/local/LwISom1x/items/TD2LGHHD"],"itemData":{"id":1978,"type":"article-journal","title":"Temporal trends of persistent organic pollutants in dated sediment cores: Chemical fingerprinting of the anthropogenic impacts in the Seine River basin, Paris","container-title":"Science of The Total Environment","page":"1355-1363","volume":"541","source":"ScienceDirect","abstract":"Persistent organic pollutants (POPs) were extensively produced and used throughout the last century. In the early 1980s, a rising concern on the environmental impact of these chemicals has led to the establishment of regulations and changes of use including bans. Long term monitoring of the environmental impacts of these emissions and regulations is a challenge because regular monitoring was not mandatory at the beginning of the first emissions. Moreover, the analytical methods have been strongly improved over the decades. To overcome the lack of monitoring and accurate data, sediment cores are powerful tools to construct contamination records. In this study, a high resolution record was constructed for four POPs families (13 polycyclic aromatic hydrocarbons (PAHs), 15 polychlorinated biphenyls (PCBs), 3 alkylphenols (APs) and 8 polybromodiphenyl ethers (PBDEs)) to establish their historical trends in a long-term urbanized and industrialized environment: the Seine River basin, France. These specific families were selected because they had different sources, uses and histories. The results showed concentrations up to 90mg/kg for ∑PAHs, 2.3mg/kg for ∑PCB, 1.2mg/kg for ∑APs and 0.06mg/kg for ∑PBDE. The vertical distribution profiles were different from one family to another and presented a good correlation with uses (e.g. transition from coal to natural gas for PAHs), and regulation implementation (e.g., AP ban after “OSPAR Convention” in 1992). The study of compounds distribution provided original information on sources, e.g. temporal variations in PAH uses. This study demonstrates the usefulness and accuracy of sedimentary archives in floodplain to assess the fate of POPs through time in continental hydrosystems. These first results give a comprehensive overview of the contamination in the Seine River basin downstream of Paris Megacity. They were in good agreement with previous studies dedicated to European areas and highlighted specificities of this basin that were not reported before.","DOI":"10.1016/j.scitotenv.2015.09.147","ISSN":"0048-9697","shortTitle":"Temporal trends of persistent organic pollutants in dated sediment cores","journalAbbreviation":"Science of The Total Environment","author":[{"family":"Lorgeoux","given":"C."},{"family":"Moilleron","given":"R."},{"family":"Gasperi","given":"J."},{"family":"Ayrault","given":"S."},{"family":"Bonté","given":"P."},{"family":"Lefèvre","given":"I."},{"family":"Tassin","given":"B."}],"issued":{"date-parts":[["2016",1,15]]}}}],"schema":"https://github.com/citation-style-language/schema/raw/master/csl-citation.json"} </w:instrText>
      </w:r>
      <w:r w:rsidR="005F7315">
        <w:fldChar w:fldCharType="separate"/>
      </w:r>
      <w:r w:rsidR="005F7315" w:rsidRPr="005F7315">
        <w:t>(Lorgeoux et al., 2016)</w:t>
      </w:r>
      <w:r w:rsidR="005F7315">
        <w:fldChar w:fldCharType="end"/>
      </w:r>
      <w:r w:rsidR="00BA0D68" w:rsidRPr="005F7315">
        <w:t xml:space="preserve">. </w:t>
      </w:r>
      <w:r w:rsidR="00952AD4" w:rsidRPr="005F7315">
        <w:t xml:space="preserve">Ces archives </w:t>
      </w:r>
      <w:r w:rsidR="00BA0D68" w:rsidRPr="005F7315">
        <w:t xml:space="preserve">sédimentaires ont été datées par les biais de </w:t>
      </w:r>
      <w:r w:rsidR="00276EFD">
        <w:t xml:space="preserve">mesures d’activités en radionucléides </w:t>
      </w:r>
      <w:r w:rsidR="00BA0D68" w:rsidRPr="005F7315">
        <w:t>comme le césium 137 (</w:t>
      </w:r>
      <w:r w:rsidR="00BA0D68" w:rsidRPr="005F7315">
        <w:rPr>
          <w:vertAlign w:val="superscript"/>
        </w:rPr>
        <w:t>137</w:t>
      </w:r>
      <w:r w:rsidR="00BA0D68" w:rsidRPr="005F7315">
        <w:t xml:space="preserve">Cs), accumulé </w:t>
      </w:r>
      <w:r w:rsidRPr="005F7315">
        <w:t xml:space="preserve">surtout </w:t>
      </w:r>
      <w:r w:rsidR="00BA0D68" w:rsidRPr="005F7315">
        <w:t xml:space="preserve">suite </w:t>
      </w:r>
      <w:r w:rsidRPr="005F7315">
        <w:t>aux</w:t>
      </w:r>
      <w:r>
        <w:t xml:space="preserve"> </w:t>
      </w:r>
      <w:r w:rsidR="00BA0D68">
        <w:t xml:space="preserve">essais nucléaires </w:t>
      </w:r>
      <w:r>
        <w:t>de</w:t>
      </w:r>
      <w:r w:rsidR="00BA0D68">
        <w:t xml:space="preserve"> 1960 et </w:t>
      </w:r>
      <w:r w:rsidR="00C43846">
        <w:t>lors de l’accident de</w:t>
      </w:r>
      <w:r>
        <w:t xml:space="preserve"> </w:t>
      </w:r>
      <w:r w:rsidR="00BA0D68">
        <w:t>Tchernobyl</w:t>
      </w:r>
      <w:r w:rsidR="00647005">
        <w:t xml:space="preserve"> en 1986</w:t>
      </w:r>
      <w:r w:rsidR="00BA0D68">
        <w:t xml:space="preserve">. Certaines séquences ont également été calées chronologiquement sur des épisodes de crues historiques. Ces archives sédimentaires </w:t>
      </w:r>
      <w:r w:rsidR="00952AD4" w:rsidRPr="00B2189C">
        <w:t>remonte</w:t>
      </w:r>
      <w:r w:rsidR="00952AD4">
        <w:t>nt</w:t>
      </w:r>
      <w:r w:rsidR="00952AD4" w:rsidRPr="00B2189C">
        <w:t xml:space="preserve"> au milieu du XXe siècle au moins et permet</w:t>
      </w:r>
      <w:r w:rsidR="00952AD4">
        <w:t>tent</w:t>
      </w:r>
      <w:r w:rsidR="00952AD4" w:rsidRPr="00B2189C">
        <w:t xml:space="preserve"> de faire le lien avec les données du sui</w:t>
      </w:r>
      <w:r w:rsidR="001C1DBC">
        <w:t>vi réglementaire</w:t>
      </w:r>
      <w:r w:rsidR="00BA0D68">
        <w:t xml:space="preserve">. </w:t>
      </w:r>
    </w:p>
    <w:p w14:paraId="1BC7B182" w14:textId="77777777" w:rsidR="00762885" w:rsidRDefault="00762885" w:rsidP="00762885">
      <w:pPr>
        <w:pStyle w:val="Legendes"/>
      </w:pPr>
    </w:p>
    <w:p w14:paraId="56F1957A" w14:textId="77777777" w:rsidR="00952AD4" w:rsidRDefault="00952AD4" w:rsidP="00952AD4">
      <w:pPr>
        <w:pStyle w:val="Titre2"/>
      </w:pPr>
      <w:r w:rsidRPr="00C974A1">
        <w:t xml:space="preserve">Qualité des mesures </w:t>
      </w:r>
      <w:r w:rsidR="000C33D8">
        <w:t>et méthode de reconstitution</w:t>
      </w:r>
    </w:p>
    <w:p w14:paraId="0D004D94" w14:textId="5E219BD7" w:rsidR="00F40EC9" w:rsidRPr="002563AA" w:rsidRDefault="00952AD4" w:rsidP="002563AA">
      <w:pPr>
        <w:jc w:val="both"/>
      </w:pPr>
      <w:r>
        <w:t xml:space="preserve">L’analyse de la qualité des mesures de concentrations en polluants dans les sédiments et les MES est une étape essentielle </w:t>
      </w:r>
      <w:r w:rsidR="00DC01AE">
        <w:t>car le jeu de données initial</w:t>
      </w:r>
      <w:r>
        <w:t xml:space="preserve"> </w:t>
      </w:r>
      <w:r w:rsidR="00DC01AE">
        <w:t>présente</w:t>
      </w:r>
      <w:r>
        <w:t xml:space="preserve"> </w:t>
      </w:r>
      <w:r w:rsidR="00DC01AE">
        <w:t xml:space="preserve">une forte proportion de </w:t>
      </w:r>
      <w:r>
        <w:t>v</w:t>
      </w:r>
      <w:r w:rsidR="001C1DBC">
        <w:t>aleurs avec des</w:t>
      </w:r>
      <w:r>
        <w:t xml:space="preserve"> seuil</w:t>
      </w:r>
      <w:r w:rsidR="001C1DBC">
        <w:t>s</w:t>
      </w:r>
      <w:r>
        <w:t xml:space="preserve"> de quantification </w:t>
      </w:r>
      <w:r w:rsidR="001C1DBC">
        <w:t xml:space="preserve">variables en fonction de </w:t>
      </w:r>
      <w:r w:rsidR="00DC01AE">
        <w:t>l’ancienneté de l’analyse</w:t>
      </w:r>
      <w:r w:rsidR="00276EFD">
        <w:t>,</w:t>
      </w:r>
      <w:r w:rsidR="001C1DBC">
        <w:t xml:space="preserve"> du laboratoire </w:t>
      </w:r>
      <w:r w:rsidR="00276EFD">
        <w:t xml:space="preserve">et des méthodes analytiques </w:t>
      </w:r>
      <w:r>
        <w:t xml:space="preserve">(de </w:t>
      </w:r>
      <w:r w:rsidR="001C1DBC">
        <w:t>5</w:t>
      </w:r>
      <w:r>
        <w:t>0 μg/kg à 0,1 μg/kg par congénère)</w:t>
      </w:r>
      <w:r w:rsidR="001C1DBC">
        <w:t>.</w:t>
      </w:r>
      <w:r>
        <w:t xml:space="preserve"> </w:t>
      </w:r>
      <w:r w:rsidR="001C1DBC">
        <w:t xml:space="preserve">Ainsi, nous avons (1) éliminé les données </w:t>
      </w:r>
      <w:r w:rsidR="001C1DBC">
        <w:lastRenderedPageBreak/>
        <w:t xml:space="preserve">où plus de </w:t>
      </w:r>
      <w:r w:rsidR="00D0153D">
        <w:t>4</w:t>
      </w:r>
      <w:r w:rsidR="001C1DBC">
        <w:t xml:space="preserve"> congénères de PCB </w:t>
      </w:r>
      <w:r w:rsidR="00D0153D">
        <w:t xml:space="preserve">sur 7 </w:t>
      </w:r>
      <w:r w:rsidR="001C1DBC">
        <w:t xml:space="preserve">étaient mal quantifiés et (2) </w:t>
      </w:r>
      <w:r w:rsidR="00BD03A1">
        <w:t>corrigé l</w:t>
      </w:r>
      <w:r>
        <w:t xml:space="preserve">es </w:t>
      </w:r>
      <w:r w:rsidR="001C1DBC">
        <w:t xml:space="preserve">autres </w:t>
      </w:r>
      <w:r w:rsidR="00647005">
        <w:t>données</w:t>
      </w:r>
      <w:r w:rsidR="001C1DBC">
        <w:t xml:space="preserve"> où seuls </w:t>
      </w:r>
      <w:r>
        <w:t xml:space="preserve">les </w:t>
      </w:r>
      <w:r w:rsidR="00276EFD">
        <w:t xml:space="preserve">3 </w:t>
      </w:r>
      <w:r>
        <w:t xml:space="preserve">congénères </w:t>
      </w:r>
      <w:r w:rsidR="00BD03A1">
        <w:t xml:space="preserve">hautement chlorés </w:t>
      </w:r>
      <w:r w:rsidR="001C1DBC">
        <w:t>étaient quantifiés (</w:t>
      </w:r>
      <w:r>
        <w:t>PCB 138, 153 et 180</w:t>
      </w:r>
      <w:r w:rsidR="001C1DBC">
        <w:t>)</w:t>
      </w:r>
      <w:r w:rsidR="00BD03A1">
        <w:t xml:space="preserve"> </w:t>
      </w:r>
      <w:r>
        <w:t xml:space="preserve">à partir </w:t>
      </w:r>
      <w:r w:rsidR="001C1DBC">
        <w:t>de</w:t>
      </w:r>
      <w:r>
        <w:t xml:space="preserve"> </w:t>
      </w:r>
      <w:r w:rsidR="00BD03A1">
        <w:t>leur</w:t>
      </w:r>
      <w:r>
        <w:t xml:space="preserve"> proportion moyenne dans les sédiments </w:t>
      </w:r>
      <w:r w:rsidR="001C1DBC">
        <w:t>du fleuve</w:t>
      </w:r>
      <w:r>
        <w:t xml:space="preserve"> au cours de la même péri</w:t>
      </w:r>
      <w:r w:rsidR="001C1DBC">
        <w:t xml:space="preserve">ode. </w:t>
      </w:r>
      <w:r>
        <w:t xml:space="preserve">Cette correction a permis de reconstituer entre </w:t>
      </w:r>
      <w:r w:rsidR="00C43846">
        <w:t>5</w:t>
      </w:r>
      <w:r w:rsidR="00F40EC9">
        <w:t xml:space="preserve"> </w:t>
      </w:r>
      <w:r>
        <w:t>et 21 %</w:t>
      </w:r>
      <w:r w:rsidR="002563AA">
        <w:t xml:space="preserve"> des données selon les fleuves</w:t>
      </w:r>
      <w:r>
        <w:t>. Néanmoins, certains cours d’eau, comme la Garonne</w:t>
      </w:r>
      <w:r w:rsidR="000C33D8">
        <w:t xml:space="preserve">, </w:t>
      </w:r>
      <w:r>
        <w:t>re</w:t>
      </w:r>
      <w:r w:rsidR="000C33D8">
        <w:t>stent insuffisamment représenté</w:t>
      </w:r>
      <w:r>
        <w:t xml:space="preserve">s pour proposer une analyse </w:t>
      </w:r>
      <w:r w:rsidR="000C33D8">
        <w:t>spati</w:t>
      </w:r>
      <w:r w:rsidR="00C43846">
        <w:t>o-</w:t>
      </w:r>
      <w:r w:rsidR="000C33D8">
        <w:t>temporelle</w:t>
      </w:r>
      <w:r w:rsidR="00C43846">
        <w:t xml:space="preserve"> précise</w:t>
      </w:r>
      <w:r>
        <w:t xml:space="preserve">. </w:t>
      </w:r>
    </w:p>
    <w:p w14:paraId="5FACDB97" w14:textId="672E2221" w:rsidR="00F40EC9" w:rsidRDefault="00BD03A1" w:rsidP="00F40EC9">
      <w:pPr>
        <w:jc w:val="both"/>
      </w:pPr>
      <w:r>
        <w:t xml:space="preserve">La modélisation des concentrations en PCBi issues des différentes matrices sédimentaires (sédiments </w:t>
      </w:r>
      <w:r w:rsidR="00276EFD">
        <w:t>de surface</w:t>
      </w:r>
      <w:r>
        <w:t>, MES, sédiments de dragage) s’est donc appuyée</w:t>
      </w:r>
      <w:r w:rsidR="000C33D8">
        <w:t xml:space="preserve"> sur </w:t>
      </w:r>
      <w:r>
        <w:t>ces données. Elle</w:t>
      </w:r>
      <w:r w:rsidR="000C33D8">
        <w:t xml:space="preserve"> </w:t>
      </w:r>
      <w:r w:rsidR="00F40EC9">
        <w:t xml:space="preserve">a été interpolée au cours du temps selon un </w:t>
      </w:r>
      <w:r>
        <w:t xml:space="preserve">modèle additif généralisé (GAM) qui </w:t>
      </w:r>
      <w:r w:rsidR="00F40EC9">
        <w:t xml:space="preserve">offre une méthode de lissage adapté aux données et moins rigide que les régressions linéaires pour la modélisation de séries temporelles. En outre, les GAMs ne comportent pas de queues tronquées en début ou fin de série, comme c’est le cas pour les moyennes et médianes mobiles. </w:t>
      </w:r>
    </w:p>
    <w:p w14:paraId="05710BDF" w14:textId="67D9EF8D" w:rsidR="00F73FBD" w:rsidRPr="00911CDB" w:rsidRDefault="00952AD4" w:rsidP="00F73FBD">
      <w:pPr>
        <w:pStyle w:val="Titre1"/>
      </w:pPr>
      <w:r>
        <w:t>Premiers résultats à l’échelle du Rhône</w:t>
      </w:r>
    </w:p>
    <w:p w14:paraId="5CE11F96" w14:textId="2EC7EFEE" w:rsidR="00E36F66" w:rsidRDefault="00DD54B2" w:rsidP="00952AD4">
      <w:pPr>
        <w:jc w:val="both"/>
      </w:pPr>
      <w:r w:rsidRPr="00292A23">
        <w:rPr>
          <w:noProof/>
          <w:lang w:eastAsia="fr-FR"/>
        </w:rPr>
        <w:drawing>
          <wp:anchor distT="0" distB="0" distL="114300" distR="114300" simplePos="0" relativeHeight="251658240" behindDoc="0" locked="0" layoutInCell="1" allowOverlap="1" wp14:anchorId="3D0EA2D2" wp14:editId="5CFA08DE">
            <wp:simplePos x="0" y="0"/>
            <wp:positionH relativeFrom="margin">
              <wp:posOffset>3208655</wp:posOffset>
            </wp:positionH>
            <wp:positionV relativeFrom="paragraph">
              <wp:posOffset>71120</wp:posOffset>
            </wp:positionV>
            <wp:extent cx="2675890" cy="4192905"/>
            <wp:effectExtent l="0" t="0" r="0" b="0"/>
            <wp:wrapSquare wrapText="bothSides"/>
            <wp:docPr id="4" name="Image 4" descr="E:\ENTPE\Rapports\Rapport OSR5 - mars 2019\Fig. 5 - secti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TPE\Rapports\Rapport OSR5 - mars 2019\Fig. 5 - sections-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419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3A1">
        <w:t xml:space="preserve">Les données recueillies sur le </w:t>
      </w:r>
      <w:r w:rsidR="000C33D8">
        <w:t xml:space="preserve">Rhône </w:t>
      </w:r>
      <w:r w:rsidR="00952AD4" w:rsidRPr="005A7286">
        <w:t>suggère</w:t>
      </w:r>
      <w:r w:rsidR="00BD03A1">
        <w:t>nt</w:t>
      </w:r>
      <w:r w:rsidR="00952AD4" w:rsidRPr="005A7286">
        <w:t xml:space="preserve"> des concentrations relativement faibles dans la partie amont </w:t>
      </w:r>
      <w:r w:rsidR="00BD03A1">
        <w:t xml:space="preserve">entre le </w:t>
      </w:r>
      <w:r w:rsidR="00952AD4" w:rsidRPr="005A7286">
        <w:t xml:space="preserve">Lac </w:t>
      </w:r>
      <w:r w:rsidR="000C33D8">
        <w:t xml:space="preserve">Léman </w:t>
      </w:r>
      <w:r w:rsidR="000C33D8" w:rsidRPr="005F7315">
        <w:t>et Lyon</w:t>
      </w:r>
      <w:r w:rsidR="00BD03A1" w:rsidRPr="005F7315">
        <w:t>. Le</w:t>
      </w:r>
      <w:r w:rsidR="00952AD4" w:rsidRPr="005F7315">
        <w:t>s</w:t>
      </w:r>
      <w:r w:rsidR="00952AD4" w:rsidRPr="005A7286">
        <w:t xml:space="preserve"> concentrations augmentent dans la section </w:t>
      </w:r>
      <w:r w:rsidR="00952AD4">
        <w:t>m</w:t>
      </w:r>
      <w:r w:rsidR="00952AD4" w:rsidRPr="005A7286">
        <w:t>édian</w:t>
      </w:r>
      <w:r w:rsidR="000C33D8">
        <w:t>e (Lyon-Valence)</w:t>
      </w:r>
      <w:r w:rsidR="00952AD4" w:rsidRPr="005A7286">
        <w:t xml:space="preserve"> </w:t>
      </w:r>
      <w:r w:rsidR="00F40EC9">
        <w:t xml:space="preserve">avec </w:t>
      </w:r>
      <w:r w:rsidR="00952AD4" w:rsidRPr="005A7286">
        <w:t xml:space="preserve">ponctuellement des valeurs très </w:t>
      </w:r>
      <w:r w:rsidR="00BD03A1">
        <w:t>fortes</w:t>
      </w:r>
      <w:r w:rsidR="00952AD4">
        <w:t xml:space="preserve"> </w:t>
      </w:r>
      <w:r w:rsidR="00BD03A1">
        <w:t>(</w:t>
      </w:r>
      <w:r w:rsidR="00952AD4" w:rsidRPr="005A7286">
        <w:t>680 à 1600</w:t>
      </w:r>
      <w:r w:rsidR="00952AD4">
        <w:t> µg/kg</w:t>
      </w:r>
      <w:r w:rsidR="00C43846">
        <w:t xml:space="preserve">, </w:t>
      </w:r>
      <w:r w:rsidR="00C43846" w:rsidRPr="005A7286">
        <w:t>au déb</w:t>
      </w:r>
      <w:r w:rsidR="00C43846">
        <w:t>ouché de la vallée de la chimie</w:t>
      </w:r>
      <w:r w:rsidR="00BD03A1">
        <w:t>)</w:t>
      </w:r>
      <w:r w:rsidR="00C43846">
        <w:t xml:space="preserve"> </w:t>
      </w:r>
      <w:r w:rsidR="00647005" w:rsidRPr="005A7286">
        <w:t xml:space="preserve">au-delà des seuils de toxicité </w:t>
      </w:r>
      <w:r w:rsidR="00647005">
        <w:t>dans les sédiments</w:t>
      </w:r>
      <w:r w:rsidR="00952AD4">
        <w:t xml:space="preserve">. </w:t>
      </w:r>
      <w:r w:rsidR="00952AD4" w:rsidRPr="005A7286">
        <w:t xml:space="preserve">Les valeurs observées dans la section </w:t>
      </w:r>
      <w:r w:rsidR="00647005">
        <w:t xml:space="preserve">du </w:t>
      </w:r>
      <w:r w:rsidR="00952AD4">
        <w:t>Rhône A</w:t>
      </w:r>
      <w:r w:rsidR="00952AD4" w:rsidRPr="005A7286">
        <w:t xml:space="preserve">val </w:t>
      </w:r>
      <w:r w:rsidR="00952AD4">
        <w:t xml:space="preserve">sont </w:t>
      </w:r>
      <w:r w:rsidR="00BD03A1">
        <w:t>du même ordre</w:t>
      </w:r>
      <w:r w:rsidR="00952AD4">
        <w:t xml:space="preserve"> et montrent</w:t>
      </w:r>
      <w:r w:rsidR="00F40EC9">
        <w:t xml:space="preserve"> </w:t>
      </w:r>
      <w:r w:rsidR="00952AD4">
        <w:t xml:space="preserve">une </w:t>
      </w:r>
      <w:r w:rsidR="00D0153D">
        <w:t>dissémination</w:t>
      </w:r>
      <w:r w:rsidR="00952AD4">
        <w:t xml:space="preserve"> de la pollution </w:t>
      </w:r>
      <w:r w:rsidR="00C43846">
        <w:t>puis</w:t>
      </w:r>
      <w:r w:rsidR="003B4602">
        <w:t xml:space="preserve"> </w:t>
      </w:r>
      <w:r w:rsidR="00C43846">
        <w:t xml:space="preserve">une diminution de </w:t>
      </w:r>
      <w:r w:rsidR="00952AD4">
        <w:t xml:space="preserve">la contamination </w:t>
      </w:r>
      <w:r w:rsidR="00C43846">
        <w:t>après la confluence avec la Durance.</w:t>
      </w:r>
    </w:p>
    <w:p w14:paraId="43859276" w14:textId="1B6B8DA6" w:rsidR="00952AD4" w:rsidRDefault="003B4602" w:rsidP="00952AD4">
      <w:pPr>
        <w:jc w:val="both"/>
      </w:pPr>
      <w:r>
        <w:rPr>
          <w:noProof/>
          <w:lang w:eastAsia="fr-FR"/>
        </w:rPr>
        <mc:AlternateContent>
          <mc:Choice Requires="wps">
            <w:drawing>
              <wp:anchor distT="0" distB="0" distL="114300" distR="114300" simplePos="0" relativeHeight="251659264" behindDoc="0" locked="0" layoutInCell="1" allowOverlap="1" wp14:anchorId="16385FCA" wp14:editId="0797E7A0">
                <wp:simplePos x="0" y="0"/>
                <wp:positionH relativeFrom="margin">
                  <wp:posOffset>3217545</wp:posOffset>
                </wp:positionH>
                <wp:positionV relativeFrom="paragraph">
                  <wp:posOffset>1755775</wp:posOffset>
                </wp:positionV>
                <wp:extent cx="2667000" cy="11430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2667000" cy="1143000"/>
                        </a:xfrm>
                        <a:prstGeom prst="rect">
                          <a:avLst/>
                        </a:prstGeom>
                        <a:solidFill>
                          <a:prstClr val="white"/>
                        </a:solidFill>
                        <a:ln>
                          <a:noFill/>
                        </a:ln>
                      </wps:spPr>
                      <wps:txbx>
                        <w:txbxContent>
                          <w:p w14:paraId="598D1EAC" w14:textId="411428C7" w:rsidR="003B4602" w:rsidRPr="0087600F" w:rsidRDefault="003B4602" w:rsidP="003B4602">
                            <w:pPr>
                              <w:pStyle w:val="Legendes"/>
                            </w:pPr>
                            <w:r w:rsidRPr="0087600F">
                              <w:t xml:space="preserve">Figure </w:t>
                            </w:r>
                            <w:r w:rsidR="0072116F">
                              <w:fldChar w:fldCharType="begin"/>
                            </w:r>
                            <w:r w:rsidR="0072116F">
                              <w:instrText xml:space="preserve"> SEQ Figure \* ARABIC </w:instrText>
                            </w:r>
                            <w:r w:rsidR="0072116F">
                              <w:fldChar w:fldCharType="separate"/>
                            </w:r>
                            <w:r w:rsidR="000462BD">
                              <w:rPr>
                                <w:noProof/>
                              </w:rPr>
                              <w:t>2</w:t>
                            </w:r>
                            <w:r w:rsidR="0072116F">
                              <w:rPr>
                                <w:noProof/>
                              </w:rPr>
                              <w:fldChar w:fldCharType="end"/>
                            </w:r>
                            <w:r w:rsidRPr="0087600F">
                              <w:t> : Modélisation des tendances de contamination en PCBi le long du Rhône (Dendievel et al., in prep)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385FCA" id="_x0000_t202" coordsize="21600,21600" o:spt="202" path="m,l,21600r21600,l21600,xe">
                <v:stroke joinstyle="miter"/>
                <v:path gradientshapeok="t" o:connecttype="rect"/>
              </v:shapetype>
              <v:shape id="Zone de texte 11" o:spid="_x0000_s1026" type="#_x0000_t202" style="position:absolute;left:0;text-align:left;margin-left:253.35pt;margin-top:138.25pt;width:210pt;height:9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" stroked="f">
                <v:textbox inset="0,0,0,0">
                  <w:txbxContent>
                    <w:p w14:paraId="598D1EAC" w14:textId="411428C7" w:rsidR="003B4602" w:rsidRPr="0087600F" w:rsidRDefault="003B4602" w:rsidP="003B4602">
                      <w:pPr>
                        <w:pStyle w:val="Legendes"/>
                      </w:pPr>
                      <w:r w:rsidRPr="0087600F">
                        <w:t xml:space="preserve">Figure </w:t>
                      </w:r>
                      <w:fldSimple w:instr=" SEQ Figure \* ARABIC ">
                        <w:r w:rsidR="000462BD">
                          <w:rPr>
                            <w:noProof/>
                          </w:rPr>
                          <w:t>2</w:t>
                        </w:r>
                      </w:fldSimple>
                      <w:r w:rsidRPr="0087600F">
                        <w:t xml:space="preserve"> : Modélisation des tendances de contamination en PCBi le long du Rhône (Dendievel et al., in </w:t>
                      </w:r>
                      <w:proofErr w:type="spellStart"/>
                      <w:r w:rsidRPr="0087600F">
                        <w:t>prep</w:t>
                      </w:r>
                      <w:proofErr w:type="spellEnd"/>
                      <w:r w:rsidRPr="0087600F">
                        <w:t>)</w:t>
                      </w:r>
                    </w:p>
                  </w:txbxContent>
                </v:textbox>
                <w10:wrap type="square" anchorx="margin"/>
              </v:shape>
            </w:pict>
          </mc:Fallback>
        </mc:AlternateContent>
      </w:r>
      <w:r w:rsidR="00952AD4" w:rsidRPr="0087600F">
        <w:t xml:space="preserve">La figure </w:t>
      </w:r>
      <w:r w:rsidR="00DB1F6E" w:rsidRPr="0087600F">
        <w:t>2</w:t>
      </w:r>
      <w:r w:rsidR="00952AD4" w:rsidRPr="0087600F">
        <w:t xml:space="preserve"> </w:t>
      </w:r>
      <w:r w:rsidR="00D0153D">
        <w:t>présente</w:t>
      </w:r>
      <w:r w:rsidR="00BD03A1" w:rsidRPr="0087600F">
        <w:t xml:space="preserve"> cette </w:t>
      </w:r>
      <w:r w:rsidR="00952AD4" w:rsidRPr="0087600F">
        <w:t xml:space="preserve">évolution </w:t>
      </w:r>
      <w:r w:rsidR="00BD03A1" w:rsidRPr="0087600F">
        <w:t>au cours du temps</w:t>
      </w:r>
      <w:r w:rsidR="00BD03A1">
        <w:t>. Ainsi, d</w:t>
      </w:r>
      <w:r w:rsidR="00952AD4">
        <w:t>ans la section amont, les concentrations maximales se situent</w:t>
      </w:r>
      <w:r w:rsidR="003A508A">
        <w:t xml:space="preserve"> dans les années 1970-1980</w:t>
      </w:r>
      <w:r w:rsidR="00952AD4">
        <w:t xml:space="preserve">. </w:t>
      </w:r>
      <w:r w:rsidR="003A508A">
        <w:t xml:space="preserve">Ce pic </w:t>
      </w:r>
      <w:r w:rsidR="00952AD4">
        <w:t xml:space="preserve">renvoie </w:t>
      </w:r>
      <w:r w:rsidR="00BD03A1">
        <w:t xml:space="preserve">sans doute </w:t>
      </w:r>
      <w:r w:rsidR="00952AD4">
        <w:t xml:space="preserve">aux </w:t>
      </w:r>
      <w:r w:rsidR="00DB1F6E">
        <w:t xml:space="preserve">pics de </w:t>
      </w:r>
      <w:r w:rsidR="00952AD4">
        <w:t xml:space="preserve">productions </w:t>
      </w:r>
      <w:r w:rsidR="00BD03A1">
        <w:t>de</w:t>
      </w:r>
      <w:r w:rsidR="00952AD4">
        <w:t xml:space="preserve"> PCB</w:t>
      </w:r>
      <w:r w:rsidR="00BD03A1">
        <w:t xml:space="preserve"> </w:t>
      </w:r>
      <w:r w:rsidR="00DB1F6E">
        <w:t xml:space="preserve">à l’échelle nationale et </w:t>
      </w:r>
      <w:r w:rsidR="00DB1F6E" w:rsidRPr="0087600F">
        <w:t>européenne (</w:t>
      </w:r>
      <w:r w:rsidR="00BD03A1" w:rsidRPr="0087600F">
        <w:t>Breivik et al.</w:t>
      </w:r>
      <w:r w:rsidR="0087600F" w:rsidRPr="0087600F">
        <w:t>,</w:t>
      </w:r>
      <w:r w:rsidR="00DB1F6E" w:rsidRPr="0087600F">
        <w:t xml:space="preserve"> </w:t>
      </w:r>
      <w:r w:rsidR="00952AD4" w:rsidRPr="0087600F">
        <w:t xml:space="preserve">2002). On observe </w:t>
      </w:r>
      <w:r w:rsidR="00DB1F6E" w:rsidRPr="0087600F">
        <w:t>ensuite</w:t>
      </w:r>
      <w:r w:rsidR="00DB1F6E">
        <w:t xml:space="preserve"> </w:t>
      </w:r>
      <w:r w:rsidR="00952AD4">
        <w:t xml:space="preserve">une diminution régulière </w:t>
      </w:r>
      <w:r w:rsidR="003A508A">
        <w:t xml:space="preserve">jusqu’à l’actuel qui </w:t>
      </w:r>
      <w:r w:rsidR="00952AD4">
        <w:t xml:space="preserve">pourrait être liée </w:t>
      </w:r>
      <w:r>
        <w:t xml:space="preserve">à </w:t>
      </w:r>
      <w:r w:rsidR="003A508A">
        <w:t>l’interdiction</w:t>
      </w:r>
      <w:r w:rsidR="00952AD4">
        <w:t xml:space="preserve"> </w:t>
      </w:r>
      <w:r>
        <w:t>(décret 87-59) puis</w:t>
      </w:r>
      <w:r w:rsidR="00647005">
        <w:t xml:space="preserve"> la </w:t>
      </w:r>
      <w:r w:rsidR="00647005" w:rsidRPr="005A7286">
        <w:t xml:space="preserve">destruction progressive </w:t>
      </w:r>
      <w:r w:rsidR="00647005">
        <w:t>d</w:t>
      </w:r>
      <w:r w:rsidR="00DB1F6E">
        <w:t xml:space="preserve">es </w:t>
      </w:r>
      <w:r w:rsidR="00952AD4">
        <w:t>appareil</w:t>
      </w:r>
      <w:r w:rsidR="00DB1F6E">
        <w:t>s</w:t>
      </w:r>
      <w:r w:rsidR="00952AD4">
        <w:t xml:space="preserve"> utilisant </w:t>
      </w:r>
      <w:r w:rsidR="00952AD4" w:rsidRPr="005A7286">
        <w:t>de</w:t>
      </w:r>
      <w:r w:rsidR="00DB1F6E">
        <w:t>s</w:t>
      </w:r>
      <w:r w:rsidR="00952AD4" w:rsidRPr="005A7286">
        <w:t xml:space="preserve"> PCB </w:t>
      </w:r>
      <w:r w:rsidR="00952AD4">
        <w:t xml:space="preserve">en France </w:t>
      </w:r>
      <w:r w:rsidR="00952AD4" w:rsidRPr="005A7286">
        <w:t xml:space="preserve">et </w:t>
      </w:r>
      <w:r w:rsidR="00647005">
        <w:t xml:space="preserve">en Europe </w:t>
      </w:r>
      <w:r w:rsidR="003A508A">
        <w:t>(DCE 96/59</w:t>
      </w:r>
      <w:r w:rsidR="00DB1F6E">
        <w:t xml:space="preserve"> ; </w:t>
      </w:r>
      <w:r w:rsidR="00952AD4" w:rsidRPr="005A7286">
        <w:t xml:space="preserve">arrêté </w:t>
      </w:r>
      <w:r w:rsidR="00DB1F6E">
        <w:t xml:space="preserve">national </w:t>
      </w:r>
      <w:r w:rsidR="00952AD4" w:rsidRPr="005A7286">
        <w:t>du 26 février 2003).</w:t>
      </w:r>
    </w:p>
    <w:p w14:paraId="765091F4" w14:textId="58A926D5" w:rsidR="00952AD4" w:rsidRDefault="00952AD4" w:rsidP="00952AD4">
      <w:pPr>
        <w:jc w:val="both"/>
      </w:pPr>
      <w:r>
        <w:lastRenderedPageBreak/>
        <w:t>Les sections Médiane et Aval montre</w:t>
      </w:r>
      <w:r w:rsidR="003A508A">
        <w:t>nt</w:t>
      </w:r>
      <w:r>
        <w:t xml:space="preserve"> des tendances divergentes par rapport à l’Amont du fleuve. L’augmentation des concentrations </w:t>
      </w:r>
      <w:r w:rsidR="004C477F">
        <w:t>en PCB semble</w:t>
      </w:r>
      <w:r w:rsidRPr="0087600F">
        <w:t xml:space="preserve"> ainsi continuer dans le corridor fluvial jusqu’au milieu des années 1990 (fig. </w:t>
      </w:r>
      <w:r w:rsidR="00DB1F6E" w:rsidRPr="0087600F">
        <w:t>2</w:t>
      </w:r>
      <w:r w:rsidRPr="0087600F">
        <w:t xml:space="preserve">). </w:t>
      </w:r>
      <w:r w:rsidR="003A508A" w:rsidRPr="0087600F">
        <w:t>L</w:t>
      </w:r>
      <w:r w:rsidRPr="0087600F">
        <w:t>es plus fortes concentrations en PCB</w:t>
      </w:r>
      <w:r w:rsidR="003A508A" w:rsidRPr="0087600F">
        <w:t>i</w:t>
      </w:r>
      <w:r w:rsidRPr="0087600F">
        <w:t xml:space="preserve"> sont daté</w:t>
      </w:r>
      <w:r w:rsidR="003A508A" w:rsidRPr="0087600F">
        <w:t>e</w:t>
      </w:r>
      <w:r w:rsidRPr="0087600F">
        <w:t>s des années 1995-1996</w:t>
      </w:r>
      <w:r w:rsidR="00DB1F6E" w:rsidRPr="0087600F">
        <w:t xml:space="preserve"> et pourraient</w:t>
      </w:r>
      <w:r w:rsidR="00DB1F6E">
        <w:t xml:space="preserve"> être</w:t>
      </w:r>
      <w:r w:rsidRPr="005A7286">
        <w:t xml:space="preserve"> en lien avec de</w:t>
      </w:r>
      <w:r w:rsidR="003A508A">
        <w:t>s pollutions accidentelles</w:t>
      </w:r>
      <w:r w:rsidR="00DB1F6E">
        <w:t xml:space="preserve"> référencées dans la presse</w:t>
      </w:r>
      <w:r w:rsidRPr="005A7286">
        <w:t xml:space="preserve">. </w:t>
      </w:r>
      <w:r>
        <w:t>L</w:t>
      </w:r>
      <w:r w:rsidRPr="005A7286">
        <w:t xml:space="preserve">es concentrations décroissent rapidement </w:t>
      </w:r>
      <w:r>
        <w:t xml:space="preserve">après 1996. </w:t>
      </w:r>
      <w:r w:rsidRPr="005A7286">
        <w:t xml:space="preserve">On peut ainsi globalement estimer que les concentrations </w:t>
      </w:r>
      <w:r w:rsidR="004C477F">
        <w:t xml:space="preserve">en PCBi du Rhône </w:t>
      </w:r>
      <w:r w:rsidRPr="005A7286">
        <w:t xml:space="preserve">sont passées sous les seuils de toxicité présumée dans les sédiments (TEC = </w:t>
      </w:r>
      <w:r w:rsidR="003B4602">
        <w:t>59</w:t>
      </w:r>
      <w:r w:rsidRPr="005A7286">
        <w:t xml:space="preserve"> </w:t>
      </w:r>
      <w:r w:rsidRPr="005A7286">
        <w:rPr>
          <w:rFonts w:cs="Arial"/>
        </w:rPr>
        <w:t>µ</w:t>
      </w:r>
      <w:r w:rsidRPr="005A7286">
        <w:t xml:space="preserve">g/kg) partir des années 2000-2005, soit presque 20 ans après les premières législations. </w:t>
      </w:r>
    </w:p>
    <w:p w14:paraId="0BFC3CB9" w14:textId="77777777" w:rsidR="00221DA8" w:rsidRDefault="00221DA8" w:rsidP="003A508A">
      <w:pPr>
        <w:pStyle w:val="Titre1"/>
        <w:numPr>
          <w:ilvl w:val="0"/>
          <w:numId w:val="0"/>
        </w:numPr>
        <w:ind w:left="432" w:hanging="432"/>
      </w:pPr>
      <w:r>
        <w:t>P</w:t>
      </w:r>
      <w:r w:rsidRPr="00C974A1">
        <w:t>erspectives</w:t>
      </w:r>
    </w:p>
    <w:p w14:paraId="66B23B14" w14:textId="62368762" w:rsidR="00221DA8" w:rsidRDefault="00221DA8" w:rsidP="00DB1F6E">
      <w:pPr>
        <w:jc w:val="both"/>
      </w:pPr>
      <w:r>
        <w:t xml:space="preserve">Ces </w:t>
      </w:r>
      <w:r w:rsidR="00DB1F6E">
        <w:t>premiers résultats, issus de m</w:t>
      </w:r>
      <w:r w:rsidR="00B22BC7">
        <w:t>on travail</w:t>
      </w:r>
      <w:r w:rsidR="00DB1F6E">
        <w:t xml:space="preserve"> de post-doctorat (oct. 2018 – dec.</w:t>
      </w:r>
      <w:r w:rsidR="00B22BC7">
        <w:t xml:space="preserve"> 2019) </w:t>
      </w:r>
      <w:r>
        <w:t xml:space="preserve">ont </w:t>
      </w:r>
      <w:r w:rsidR="003B4602">
        <w:t>ainsi</w:t>
      </w:r>
      <w:r>
        <w:t xml:space="preserve"> permis l’acquisition des données et l’avancement de la réflexion quant à la qualité des informations </w:t>
      </w:r>
      <w:r w:rsidR="00DB1F6E">
        <w:t xml:space="preserve">et la diffusion des concentrations en </w:t>
      </w:r>
      <w:r w:rsidR="003B4602">
        <w:t>Polluants Organiques Persistants</w:t>
      </w:r>
      <w:r>
        <w:t xml:space="preserve"> dans les sédiments fluviatiles </w:t>
      </w:r>
      <w:r w:rsidR="003B4602">
        <w:t>en France</w:t>
      </w:r>
      <w:r>
        <w:t xml:space="preserve">. L’association des archives sédimentaires </w:t>
      </w:r>
      <w:r w:rsidR="00DB1F6E">
        <w:t>et d</w:t>
      </w:r>
      <w:r>
        <w:t xml:space="preserve">es données « gestionnaires » est essentielle pour comprendre et modéliser l’accumulation des polluants à moyen et long terme. </w:t>
      </w:r>
    </w:p>
    <w:p w14:paraId="5E915F1B" w14:textId="238C6298" w:rsidR="00221DA8" w:rsidRDefault="004C477F" w:rsidP="00B22BC7">
      <w:pPr>
        <w:jc w:val="both"/>
      </w:pPr>
      <w:r>
        <w:t>L</w:t>
      </w:r>
      <w:r w:rsidR="0008134B">
        <w:t xml:space="preserve">es </w:t>
      </w:r>
      <w:r>
        <w:t xml:space="preserve">premières </w:t>
      </w:r>
      <w:r w:rsidR="00221DA8">
        <w:t>modélisation</w:t>
      </w:r>
      <w:r>
        <w:t>s</w:t>
      </w:r>
      <w:r w:rsidR="00221DA8">
        <w:t xml:space="preserve"> sur le </w:t>
      </w:r>
      <w:r>
        <w:t xml:space="preserve">corridor rhodanien </w:t>
      </w:r>
      <w:r w:rsidR="00221DA8">
        <w:t>Rhône paraissent encourageant</w:t>
      </w:r>
      <w:r>
        <w:t>e</w:t>
      </w:r>
      <w:r w:rsidR="00221DA8">
        <w:t xml:space="preserve">s, </w:t>
      </w:r>
      <w:r w:rsidR="00B22BC7">
        <w:t>mais</w:t>
      </w:r>
      <w:r w:rsidR="00221DA8">
        <w:t xml:space="preserve"> il reste encore à tester ce modèle sur la Seine et la Loire.  Plusieurs autres étapes sont prévues pour aller plus loin d</w:t>
      </w:r>
      <w:r w:rsidR="00B22BC7">
        <w:t>ans la discussion des résultats avec l’intégration d’</w:t>
      </w:r>
      <w:r w:rsidR="00221DA8">
        <w:t>information</w:t>
      </w:r>
      <w:r w:rsidR="00B22BC7">
        <w:t xml:space="preserve">s sur </w:t>
      </w:r>
      <w:r>
        <w:t xml:space="preserve">l’occupation du sol, </w:t>
      </w:r>
      <w:r w:rsidR="00B22BC7">
        <w:t xml:space="preserve">les pollutions </w:t>
      </w:r>
      <w:r>
        <w:t>accidentelles,</w:t>
      </w:r>
      <w:r w:rsidR="00221DA8">
        <w:t xml:space="preserve"> le</w:t>
      </w:r>
      <w:r w:rsidR="00B22BC7">
        <w:t xml:space="preserve">s sites de production des PCBs et l’analyse des </w:t>
      </w:r>
      <w:r w:rsidR="00221DA8">
        <w:t>compositions, en termes</w:t>
      </w:r>
      <w:r w:rsidR="00B22BC7">
        <w:t xml:space="preserve"> de congénères de PCBs</w:t>
      </w:r>
      <w:r w:rsidR="00221DA8">
        <w:t xml:space="preserve">. L’analyse des flux hydriques </w:t>
      </w:r>
      <w:r w:rsidR="00B22BC7">
        <w:t xml:space="preserve">est également envisagée. </w:t>
      </w:r>
    </w:p>
    <w:p w14:paraId="09FA7DC8" w14:textId="77777777" w:rsidR="003A508A" w:rsidRPr="00911CDB" w:rsidRDefault="003A508A" w:rsidP="003A508A">
      <w:pPr>
        <w:pStyle w:val="Titre1"/>
        <w:numPr>
          <w:ilvl w:val="0"/>
          <w:numId w:val="0"/>
        </w:numPr>
        <w:ind w:left="432" w:hanging="432"/>
      </w:pPr>
      <w:r w:rsidRPr="00911CDB">
        <w:t>Bibliographie</w:t>
      </w:r>
    </w:p>
    <w:p w14:paraId="69B81581" w14:textId="77777777" w:rsidR="0087600F" w:rsidRPr="00D0153D" w:rsidRDefault="0087600F" w:rsidP="00D0153D">
      <w:pPr>
        <w:pStyle w:val="Bibliographie"/>
        <w:ind w:left="0" w:firstLine="0"/>
        <w:rPr>
          <w:lang w:val="en-US"/>
        </w:rPr>
      </w:pPr>
      <w:r>
        <w:rPr>
          <w:rStyle w:val="Rfrenceintense"/>
          <w:lang w:val="fr-FR"/>
        </w:rPr>
        <w:fldChar w:fldCharType="begin"/>
      </w:r>
      <w:r w:rsidRPr="00C43846">
        <w:rPr>
          <w:rStyle w:val="Rfrenceintense"/>
          <w:lang w:val="fr-FR"/>
        </w:rPr>
        <w:instrText xml:space="preserve"> ADDIN ZOTERO_BIBL {"uncited":[],"omitted":[],"custom":[]} CSL_BIBLIOGRAPHY </w:instrText>
      </w:r>
      <w:r>
        <w:rPr>
          <w:rStyle w:val="Rfrenceintense"/>
          <w:lang w:val="fr-FR"/>
        </w:rPr>
        <w:fldChar w:fldCharType="separate"/>
      </w:r>
      <w:r w:rsidRPr="00C43846">
        <w:t xml:space="preserve">Breivik, K., Sweetman, A., Pacyna, J.M., Jones, K.C., 2002. </w:t>
      </w:r>
      <w:r w:rsidRPr="00D0153D">
        <w:rPr>
          <w:lang w:val="en-US"/>
        </w:rPr>
        <w:t xml:space="preserve">Towards a global historical emission inventory for selected PCB congeners — a mass balance approach: 1. Global production and consumption. Science of The Total Environment 290, pp. 181–198. </w:t>
      </w:r>
    </w:p>
    <w:p w14:paraId="54B55006" w14:textId="77777777" w:rsidR="0087600F" w:rsidRPr="00D0153D" w:rsidRDefault="0087600F" w:rsidP="00D0153D">
      <w:pPr>
        <w:pStyle w:val="Bibliographie"/>
        <w:ind w:left="0" w:firstLine="0"/>
        <w:rPr>
          <w:lang w:val="en-US"/>
        </w:rPr>
      </w:pPr>
      <w:r w:rsidRPr="0087600F">
        <w:t xml:space="preserve">Desmet, M., Mourier, B., Mahler, B.J., Van Metre, P.C., Roux, G., Persat, H., Lefèvre, I., Peretti, A., Chapron, E., Simonneau, A., Miège, C., Babut, M., 2012. </w:t>
      </w:r>
      <w:r w:rsidRPr="00D0153D">
        <w:rPr>
          <w:lang w:val="en-US"/>
        </w:rPr>
        <w:t xml:space="preserve">Spatial and temporal trends in PCBs in sediment along the lower Rhône River, France. Science of The Total Environment 433, pp. 189–197. </w:t>
      </w:r>
    </w:p>
    <w:p w14:paraId="4ACBC647" w14:textId="0BF4B957" w:rsidR="0087600F" w:rsidRPr="00C43846" w:rsidRDefault="0087600F" w:rsidP="00D0153D">
      <w:pPr>
        <w:pStyle w:val="Bibliographie"/>
        <w:ind w:left="0" w:firstLine="0"/>
        <w:rPr>
          <w:lang w:val="en-GB"/>
        </w:rPr>
      </w:pPr>
      <w:r w:rsidRPr="00D0153D">
        <w:rPr>
          <w:lang w:val="en-US"/>
        </w:rPr>
        <w:t xml:space="preserve">Grosbois, C., Meybeck, M., Lestel, L., Lefèvre, I., Moatar, F., 2012. Severe and contrasted polymetallic contamination patterns (1900–2009) in the Loire River sediments (France). </w:t>
      </w:r>
      <w:r w:rsidRPr="00C43846">
        <w:rPr>
          <w:lang w:val="en-GB"/>
        </w:rPr>
        <w:t xml:space="preserve">Science of The Total Environment 435–436, 290–305. </w:t>
      </w:r>
    </w:p>
    <w:p w14:paraId="0A0A7957" w14:textId="77777777" w:rsidR="0087600F" w:rsidRPr="00D0153D" w:rsidRDefault="0087600F" w:rsidP="00D0153D">
      <w:pPr>
        <w:pStyle w:val="Bibliographie"/>
        <w:ind w:left="0" w:firstLine="0"/>
        <w:rPr>
          <w:lang w:val="en-US"/>
        </w:rPr>
      </w:pPr>
      <w:r w:rsidRPr="00C43846">
        <w:rPr>
          <w:lang w:val="en-GB"/>
        </w:rPr>
        <w:t xml:space="preserve">Lorgeoux, C., Moilleron, R., Gasperi, J., Ayrault, S., Bonté, P., Lefèvre, I., Tassin, B., 2016. </w:t>
      </w:r>
      <w:r w:rsidRPr="00D0153D">
        <w:rPr>
          <w:lang w:val="en-US"/>
        </w:rPr>
        <w:t xml:space="preserve">Temporal trends of persistent organic pollutants in dated sediment cores: Chemical fingerprinting of the anthropogenic impacts in the Seine River basin, Paris. Science of The Total Environment 541, pp. 1355–1363. </w:t>
      </w:r>
    </w:p>
    <w:p w14:paraId="2D473BCC" w14:textId="77777777" w:rsidR="0087600F" w:rsidRPr="0087600F" w:rsidRDefault="0087600F" w:rsidP="00D0153D">
      <w:pPr>
        <w:pStyle w:val="Bibliographie"/>
        <w:ind w:left="0" w:firstLine="0"/>
      </w:pPr>
      <w:r w:rsidRPr="00D0153D">
        <w:rPr>
          <w:lang w:val="en-US"/>
        </w:rPr>
        <w:t xml:space="preserve">Mourier, B., Desmet, M., Van Metre, P.C., Mahler, B.J., Perrodin, Y., Roux, G., Bedell, J.-P., Lefèvre, I., Babut, M., 2014. Historical records, sources, and spatial trends of PCBs along the Rhône River (France). </w:t>
      </w:r>
      <w:r w:rsidRPr="0087600F">
        <w:t xml:space="preserve">Science of The Total Environment 476–477, </w:t>
      </w:r>
      <w:r>
        <w:t xml:space="preserve">pp. </w:t>
      </w:r>
      <w:r w:rsidRPr="0087600F">
        <w:t xml:space="preserve">568–576. </w:t>
      </w:r>
    </w:p>
    <w:p w14:paraId="20CDD4A8" w14:textId="77777777" w:rsidR="001E66D7" w:rsidRPr="00911CDB" w:rsidRDefault="0087600F" w:rsidP="00D0153D">
      <w:pPr>
        <w:jc w:val="both"/>
      </w:pPr>
      <w:r>
        <w:rPr>
          <w:rStyle w:val="Rfrenceintense"/>
          <w:lang w:val="fr-FR"/>
        </w:rPr>
        <w:fldChar w:fldCharType="end"/>
      </w:r>
    </w:p>
    <w:sectPr w:rsidR="001E66D7" w:rsidRPr="00911CD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6B0B9" w14:textId="77777777" w:rsidR="0072116F" w:rsidRDefault="0072116F" w:rsidP="00312E4C">
      <w:pPr>
        <w:spacing w:after="0" w:line="240" w:lineRule="auto"/>
      </w:pPr>
      <w:r>
        <w:separator/>
      </w:r>
    </w:p>
  </w:endnote>
  <w:endnote w:type="continuationSeparator" w:id="0">
    <w:p w14:paraId="66660324" w14:textId="77777777" w:rsidR="0072116F" w:rsidRDefault="0072116F" w:rsidP="0031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Gras">
    <w:panose1 w:val="020B0704020202020204"/>
    <w:charset w:val="00"/>
    <w:family w:val="swiss"/>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998571"/>
      <w:docPartObj>
        <w:docPartGallery w:val="Page Numbers (Bottom of Page)"/>
        <w:docPartUnique/>
      </w:docPartObj>
    </w:sdtPr>
    <w:sdtEndPr/>
    <w:sdtContent>
      <w:sdt>
        <w:sdtPr>
          <w:id w:val="-1669238322"/>
          <w:docPartObj>
            <w:docPartGallery w:val="Page Numbers (Top of Page)"/>
            <w:docPartUnique/>
          </w:docPartObj>
        </w:sdtPr>
        <w:sdtEndPr/>
        <w:sdtContent>
          <w:p w14:paraId="4E753921" w14:textId="77777777" w:rsidR="00221DA8" w:rsidRDefault="00221DA8" w:rsidP="00911CDB">
            <w:pPr>
              <w:pStyle w:val="Pieddepage"/>
              <w:jc w:val="center"/>
            </w:pPr>
            <w:r>
              <w:rPr>
                <w:i/>
                <w:noProof/>
                <w:szCs w:val="24"/>
                <w:lang w:eastAsia="fr-FR"/>
              </w:rPr>
              <mc:AlternateContent>
                <mc:Choice Requires="wps">
                  <w:drawing>
                    <wp:anchor distT="0" distB="0" distL="114300" distR="114300" simplePos="0" relativeHeight="251661312" behindDoc="0" locked="0" layoutInCell="1" allowOverlap="1" wp14:anchorId="520C109D" wp14:editId="33E63FA3">
                      <wp:simplePos x="0" y="0"/>
                      <wp:positionH relativeFrom="column">
                        <wp:posOffset>1405255</wp:posOffset>
                      </wp:positionH>
                      <wp:positionV relativeFrom="paragraph">
                        <wp:posOffset>5715</wp:posOffset>
                      </wp:positionV>
                      <wp:extent cx="5257800" cy="0"/>
                      <wp:effectExtent l="0" t="19050" r="0" b="19050"/>
                      <wp:wrapNone/>
                      <wp:docPr id="2" name="Connecteur droit 2"/>
                      <wp:cNvGraphicFramePr/>
                      <a:graphic xmlns:a="http://schemas.openxmlformats.org/drawingml/2006/main">
                        <a:graphicData uri="http://schemas.microsoft.com/office/word/2010/wordprocessingShape">
                          <wps:wsp>
                            <wps:cNvCnPr/>
                            <wps:spPr>
                              <a:xfrm flipH="1">
                                <a:off x="0" y="0"/>
                                <a:ext cx="525780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13D1206" id="Connecteur droit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10.65pt,.45pt" to="5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" strokecolor="#243f60 [1604]" strokeweight="3pt"/>
                  </w:pict>
                </mc:Fallback>
              </mc:AlternateContent>
            </w:r>
          </w:p>
          <w:p w14:paraId="021D79DD" w14:textId="2F227410" w:rsidR="00221DA8" w:rsidRDefault="00221DA8" w:rsidP="00911CDB">
            <w:pPr>
              <w:pStyle w:val="Pieddepage"/>
              <w:tabs>
                <w:tab w:val="left" w:pos="5670"/>
              </w:tabs>
            </w:pPr>
            <w:r>
              <w:rPr>
                <w:bCs/>
                <w:szCs w:val="24"/>
              </w:rPr>
              <w:tab/>
            </w:r>
            <w:r w:rsidRPr="00911CDB">
              <w:rPr>
                <w:bCs/>
                <w:color w:val="244061" w:themeColor="accent1" w:themeShade="80"/>
                <w:szCs w:val="24"/>
              </w:rPr>
              <w:fldChar w:fldCharType="begin"/>
            </w:r>
            <w:r w:rsidRPr="00911CDB">
              <w:rPr>
                <w:bCs/>
                <w:color w:val="244061" w:themeColor="accent1" w:themeShade="80"/>
              </w:rPr>
              <w:instrText>PAGE</w:instrText>
            </w:r>
            <w:r w:rsidRPr="00911CDB">
              <w:rPr>
                <w:bCs/>
                <w:color w:val="244061" w:themeColor="accent1" w:themeShade="80"/>
                <w:szCs w:val="24"/>
              </w:rPr>
              <w:fldChar w:fldCharType="separate"/>
            </w:r>
            <w:r w:rsidR="000E5ADC">
              <w:rPr>
                <w:bCs/>
                <w:noProof/>
                <w:color w:val="244061" w:themeColor="accent1" w:themeShade="80"/>
              </w:rPr>
              <w:t>2</w:t>
            </w:r>
            <w:r w:rsidRPr="00911CDB">
              <w:rPr>
                <w:bCs/>
                <w:color w:val="244061" w:themeColor="accent1" w:themeShade="80"/>
                <w:szCs w:val="24"/>
              </w:rPr>
              <w:fldChar w:fldCharType="end"/>
            </w:r>
            <w:r w:rsidRPr="00911CDB">
              <w:rPr>
                <w:color w:val="244061" w:themeColor="accent1" w:themeShade="80"/>
              </w:rPr>
              <w:t xml:space="preserve"> / </w:t>
            </w:r>
            <w:r w:rsidRPr="00911CDB">
              <w:rPr>
                <w:bCs/>
                <w:color w:val="244061" w:themeColor="accent1" w:themeShade="80"/>
                <w:szCs w:val="24"/>
              </w:rPr>
              <w:fldChar w:fldCharType="begin"/>
            </w:r>
            <w:r w:rsidRPr="00911CDB">
              <w:rPr>
                <w:bCs/>
                <w:color w:val="244061" w:themeColor="accent1" w:themeShade="80"/>
              </w:rPr>
              <w:instrText>NUMPAGES</w:instrText>
            </w:r>
            <w:r w:rsidRPr="00911CDB">
              <w:rPr>
                <w:bCs/>
                <w:color w:val="244061" w:themeColor="accent1" w:themeShade="80"/>
                <w:szCs w:val="24"/>
              </w:rPr>
              <w:fldChar w:fldCharType="separate"/>
            </w:r>
            <w:r w:rsidR="000E5ADC">
              <w:rPr>
                <w:bCs/>
                <w:noProof/>
                <w:color w:val="244061" w:themeColor="accent1" w:themeShade="80"/>
              </w:rPr>
              <w:t>6</w:t>
            </w:r>
            <w:r w:rsidRPr="00911CDB">
              <w:rPr>
                <w:bCs/>
                <w:color w:val="244061" w:themeColor="accent1" w:themeShade="80"/>
                <w:szCs w:val="24"/>
              </w:rPr>
              <w:fldChar w:fldCharType="end"/>
            </w:r>
            <w:r>
              <w:rPr>
                <w:bCs/>
                <w:szCs w:val="24"/>
              </w:rPr>
              <w:tab/>
            </w:r>
          </w:p>
        </w:sdtContent>
      </w:sdt>
    </w:sdtContent>
  </w:sdt>
  <w:p w14:paraId="3FD8C2B7" w14:textId="77777777" w:rsidR="00221DA8" w:rsidRDefault="00221D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5F08C" w14:textId="77777777" w:rsidR="0072116F" w:rsidRDefault="0072116F" w:rsidP="00312E4C">
      <w:pPr>
        <w:spacing w:after="0" w:line="240" w:lineRule="auto"/>
      </w:pPr>
      <w:r>
        <w:separator/>
      </w:r>
    </w:p>
  </w:footnote>
  <w:footnote w:type="continuationSeparator" w:id="0">
    <w:p w14:paraId="6A2A53BA" w14:textId="77777777" w:rsidR="0072116F" w:rsidRDefault="0072116F" w:rsidP="00312E4C">
      <w:pPr>
        <w:spacing w:after="0" w:line="240" w:lineRule="auto"/>
      </w:pPr>
      <w:r>
        <w:continuationSeparator/>
      </w:r>
    </w:p>
  </w:footnote>
  <w:footnote w:id="1">
    <w:p w14:paraId="23241992" w14:textId="77777777" w:rsidR="003B169B" w:rsidRPr="003B169B" w:rsidRDefault="003B169B">
      <w:pPr>
        <w:pStyle w:val="Notedebasdepage"/>
      </w:pPr>
      <w:r w:rsidRPr="003B169B">
        <w:rPr>
          <w:rStyle w:val="Appelnotedebasdep"/>
        </w:rPr>
        <w:footnoteRef/>
      </w:r>
      <w:r w:rsidRPr="003B169B">
        <w:t xml:space="preserve"> </w:t>
      </w:r>
      <w:r w:rsidRPr="003B169B">
        <w:rPr>
          <w:rFonts w:ascii="Calibri" w:hAnsi="Calibri"/>
          <w:sz w:val="22"/>
          <w:szCs w:val="22"/>
          <w:lang w:val="en-GB"/>
        </w:rPr>
        <w:t>Dendievel A.-M., Mourier B., Faivre Q., Ayrault S., Budzinski H., Coynel A., Debr</w:t>
      </w:r>
      <w:r>
        <w:rPr>
          <w:rFonts w:ascii="Calibri" w:hAnsi="Calibri"/>
          <w:sz w:val="22"/>
          <w:szCs w:val="22"/>
          <w:lang w:val="en-GB"/>
        </w:rPr>
        <w:t xml:space="preserve">et M., Desmet M., Evrard O., Labadie P., </w:t>
      </w:r>
      <w:r w:rsidRPr="003B169B">
        <w:rPr>
          <w:rFonts w:ascii="Calibri" w:hAnsi="Calibri"/>
          <w:sz w:val="22"/>
          <w:szCs w:val="22"/>
          <w:lang w:val="en-GB"/>
        </w:rPr>
        <w:t>Winiarski T. &amp; Grosbois C.</w:t>
      </w:r>
    </w:p>
  </w:footnote>
  <w:footnote w:id="2">
    <w:p w14:paraId="3AF5C936" w14:textId="77777777" w:rsidR="003B169B" w:rsidRDefault="003B169B">
      <w:pPr>
        <w:pStyle w:val="Notedebasdepage"/>
      </w:pPr>
      <w:r>
        <w:rPr>
          <w:rStyle w:val="Appelnotedebasdep"/>
        </w:rPr>
        <w:t>1</w:t>
      </w:r>
      <w:r>
        <w:t xml:space="preserve"> </w:t>
      </w:r>
      <w:r w:rsidRPr="00D0153D">
        <w:rPr>
          <w:rFonts w:ascii="Calibri" w:hAnsi="Calibri"/>
          <w:sz w:val="22"/>
          <w:szCs w:val="22"/>
        </w:rPr>
        <w:t>Dendievel A.-M., Mourier B., Faivre Q., Ayrault S., Budzinski H., Coynel A., Debret M., Desmet M., Evrard O., Labadie P., Winiarski T. &amp; Grosbois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245A4" w14:textId="77777777" w:rsidR="00221DA8" w:rsidRPr="00911CDB" w:rsidRDefault="00221DA8" w:rsidP="00911CDB">
    <w:pPr>
      <w:pStyle w:val="En-tte"/>
      <w:spacing w:line="300" w:lineRule="auto"/>
      <w:jc w:val="right"/>
      <w:rPr>
        <w:b/>
        <w:color w:val="244061" w:themeColor="accent1" w:themeShade="80"/>
        <w:szCs w:val="24"/>
      </w:rPr>
    </w:pPr>
    <w:r w:rsidRPr="00911CDB">
      <w:rPr>
        <w:b/>
        <w:color w:val="244061" w:themeColor="accent1" w:themeShade="80"/>
        <w:szCs w:val="24"/>
      </w:rPr>
      <w:t>Doctoriales en Sciences Sociales de l’eau</w:t>
    </w:r>
  </w:p>
  <w:p w14:paraId="0E669520" w14:textId="77777777" w:rsidR="00221DA8" w:rsidRPr="00911CDB" w:rsidRDefault="00221DA8" w:rsidP="00911CDB">
    <w:pPr>
      <w:pStyle w:val="En-tte"/>
      <w:tabs>
        <w:tab w:val="left" w:pos="1935"/>
      </w:tabs>
      <w:spacing w:line="300" w:lineRule="auto"/>
      <w:rPr>
        <w:color w:val="244061" w:themeColor="accent1" w:themeShade="80"/>
        <w:szCs w:val="24"/>
      </w:rPr>
    </w:pPr>
    <w:r>
      <w:rPr>
        <w:color w:val="244061" w:themeColor="accent1" w:themeShade="80"/>
        <w:szCs w:val="24"/>
      </w:rPr>
      <w:tab/>
    </w:r>
    <w:r>
      <w:rPr>
        <w:color w:val="244061" w:themeColor="accent1" w:themeShade="80"/>
        <w:szCs w:val="24"/>
      </w:rPr>
      <w:tab/>
    </w:r>
    <w:r>
      <w:rPr>
        <w:color w:val="244061" w:themeColor="accent1" w:themeShade="80"/>
        <w:szCs w:val="24"/>
      </w:rPr>
      <w:tab/>
    </w:r>
    <w:r w:rsidRPr="00911CDB">
      <w:rPr>
        <w:color w:val="244061" w:themeColor="accent1" w:themeShade="80"/>
        <w:szCs w:val="24"/>
      </w:rPr>
      <w:t>ENS de Lyon – 5-6 septembre 2019</w:t>
    </w:r>
  </w:p>
  <w:p w14:paraId="1073995C" w14:textId="77777777" w:rsidR="00221DA8" w:rsidRPr="001E66D7" w:rsidRDefault="00221DA8" w:rsidP="00911CDB">
    <w:pPr>
      <w:pStyle w:val="En-tte"/>
      <w:jc w:val="center"/>
      <w:rPr>
        <w:i/>
        <w:szCs w:val="24"/>
      </w:rPr>
    </w:pPr>
    <w:r>
      <w:rPr>
        <w:i/>
        <w:noProof/>
        <w:szCs w:val="24"/>
        <w:lang w:eastAsia="fr-FR"/>
      </w:rPr>
      <mc:AlternateContent>
        <mc:Choice Requires="wps">
          <w:drawing>
            <wp:anchor distT="0" distB="0" distL="114300" distR="114300" simplePos="0" relativeHeight="251659264" behindDoc="0" locked="0" layoutInCell="1" allowOverlap="1" wp14:anchorId="38C402E8" wp14:editId="52B05725">
              <wp:simplePos x="0" y="0"/>
              <wp:positionH relativeFrom="column">
                <wp:posOffset>-909320</wp:posOffset>
              </wp:positionH>
              <wp:positionV relativeFrom="paragraph">
                <wp:posOffset>141605</wp:posOffset>
              </wp:positionV>
              <wp:extent cx="5257800" cy="0"/>
              <wp:effectExtent l="0" t="19050" r="0" b="19050"/>
              <wp:wrapNone/>
              <wp:docPr id="1" name="Connecteur droit 1"/>
              <wp:cNvGraphicFramePr/>
              <a:graphic xmlns:a="http://schemas.openxmlformats.org/drawingml/2006/main">
                <a:graphicData uri="http://schemas.microsoft.com/office/word/2010/wordprocessingShape">
                  <wps:wsp>
                    <wps:cNvCnPr/>
                    <wps:spPr>
                      <a:xfrm flipH="1">
                        <a:off x="0" y="0"/>
                        <a:ext cx="525780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C906C93" id="Connecteur droit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71.6pt,11.15pt" to="342.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" strokecolor="#243f60 [1604]"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9F3B04"/>
    <w:multiLevelType w:val="hybridMultilevel"/>
    <w:tmpl w:val="DA9C255C"/>
    <w:lvl w:ilvl="0" w:tplc="B728071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2694D"/>
    <w:multiLevelType w:val="hybridMultilevel"/>
    <w:tmpl w:val="3FA4FE94"/>
    <w:lvl w:ilvl="0" w:tplc="B7280714">
      <w:start w:val="1"/>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C4447B"/>
    <w:multiLevelType w:val="hybridMultilevel"/>
    <w:tmpl w:val="7E2E2E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D469E0"/>
    <w:multiLevelType w:val="hybridMultilevel"/>
    <w:tmpl w:val="E9589C62"/>
    <w:lvl w:ilvl="0" w:tplc="0784C8E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4139F2"/>
    <w:multiLevelType w:val="hybridMultilevel"/>
    <w:tmpl w:val="984643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0D58BB"/>
    <w:multiLevelType w:val="hybridMultilevel"/>
    <w:tmpl w:val="984643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5756730"/>
    <w:multiLevelType w:val="multilevel"/>
    <w:tmpl w:val="5A5E4F9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9">
    <w:nsid w:val="4FC74BC1"/>
    <w:multiLevelType w:val="hybridMultilevel"/>
    <w:tmpl w:val="DCF087A4"/>
    <w:lvl w:ilvl="0" w:tplc="260E4182">
      <w:start w:val="1"/>
      <w:numFmt w:val="bullet"/>
      <w:pStyle w:val="Normaltir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0">
    <w:nsid w:val="6C827FA5"/>
    <w:multiLevelType w:val="hybridMultilevel"/>
    <w:tmpl w:val="C3FE6284"/>
    <w:lvl w:ilvl="0" w:tplc="4B0EEA8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0"/>
  </w:num>
  <w:num w:numId="5">
    <w:abstractNumId w:val="7"/>
  </w:num>
  <w:num w:numId="6">
    <w:abstractNumId w:val="3"/>
  </w:num>
  <w:num w:numId="7">
    <w:abstractNumId w:val="5"/>
  </w:num>
  <w:num w:numId="8">
    <w:abstractNumId w:val="1"/>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E4C"/>
    <w:rsid w:val="0001644B"/>
    <w:rsid w:val="000462BD"/>
    <w:rsid w:val="0008134B"/>
    <w:rsid w:val="0008369B"/>
    <w:rsid w:val="000C33D8"/>
    <w:rsid w:val="000E5ADC"/>
    <w:rsid w:val="00125FC9"/>
    <w:rsid w:val="00180AB0"/>
    <w:rsid w:val="001928BD"/>
    <w:rsid w:val="001C1DBC"/>
    <w:rsid w:val="001E66D7"/>
    <w:rsid w:val="00221DA8"/>
    <w:rsid w:val="00232328"/>
    <w:rsid w:val="00245EE1"/>
    <w:rsid w:val="002563AA"/>
    <w:rsid w:val="00276EFD"/>
    <w:rsid w:val="00291FC6"/>
    <w:rsid w:val="002D41B1"/>
    <w:rsid w:val="002D466E"/>
    <w:rsid w:val="002D68C9"/>
    <w:rsid w:val="002E3637"/>
    <w:rsid w:val="00312E4C"/>
    <w:rsid w:val="00330BBB"/>
    <w:rsid w:val="00350DF9"/>
    <w:rsid w:val="003A508A"/>
    <w:rsid w:val="003B169B"/>
    <w:rsid w:val="003B4602"/>
    <w:rsid w:val="004039BE"/>
    <w:rsid w:val="004C477F"/>
    <w:rsid w:val="005415FB"/>
    <w:rsid w:val="00596AFE"/>
    <w:rsid w:val="005A5F43"/>
    <w:rsid w:val="005B2FE3"/>
    <w:rsid w:val="005B5526"/>
    <w:rsid w:val="005B721A"/>
    <w:rsid w:val="005F6AD1"/>
    <w:rsid w:val="005F7315"/>
    <w:rsid w:val="0060226B"/>
    <w:rsid w:val="00623AA3"/>
    <w:rsid w:val="00647005"/>
    <w:rsid w:val="0067119B"/>
    <w:rsid w:val="00701119"/>
    <w:rsid w:val="0072116F"/>
    <w:rsid w:val="0073458C"/>
    <w:rsid w:val="00762885"/>
    <w:rsid w:val="00780C6A"/>
    <w:rsid w:val="007A1A30"/>
    <w:rsid w:val="007F7A9F"/>
    <w:rsid w:val="00872D90"/>
    <w:rsid w:val="0087600F"/>
    <w:rsid w:val="008D4749"/>
    <w:rsid w:val="008E044D"/>
    <w:rsid w:val="008E4B8C"/>
    <w:rsid w:val="00911CDB"/>
    <w:rsid w:val="00915C4A"/>
    <w:rsid w:val="00952AD4"/>
    <w:rsid w:val="00AB41F0"/>
    <w:rsid w:val="00AE44A3"/>
    <w:rsid w:val="00B22BC7"/>
    <w:rsid w:val="00B7173F"/>
    <w:rsid w:val="00BA0D68"/>
    <w:rsid w:val="00BA43D7"/>
    <w:rsid w:val="00BD03A1"/>
    <w:rsid w:val="00BE1174"/>
    <w:rsid w:val="00BF1EDE"/>
    <w:rsid w:val="00C43846"/>
    <w:rsid w:val="00C45B1B"/>
    <w:rsid w:val="00CB629B"/>
    <w:rsid w:val="00CC60DB"/>
    <w:rsid w:val="00D0153D"/>
    <w:rsid w:val="00D43DEC"/>
    <w:rsid w:val="00D73B73"/>
    <w:rsid w:val="00DB1F6E"/>
    <w:rsid w:val="00DC01AE"/>
    <w:rsid w:val="00DD54B2"/>
    <w:rsid w:val="00E36F66"/>
    <w:rsid w:val="00E96C3B"/>
    <w:rsid w:val="00F40EC9"/>
    <w:rsid w:val="00F73FBD"/>
    <w:rsid w:val="00FA03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5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CDB"/>
    <w:rPr>
      <w:rFonts w:ascii="Century Gothic" w:hAnsi="Century Gothic"/>
    </w:rPr>
  </w:style>
  <w:style w:type="paragraph" w:styleId="Titre1">
    <w:name w:val="heading 1"/>
    <w:basedOn w:val="Normal"/>
    <w:next w:val="Normal"/>
    <w:link w:val="Titre1Car"/>
    <w:qFormat/>
    <w:rsid w:val="00911CDB"/>
    <w:pPr>
      <w:keepNext/>
      <w:widowControl w:val="0"/>
      <w:numPr>
        <w:numId w:val="1"/>
      </w:numPr>
      <w:spacing w:before="200" w:after="0" w:line="240" w:lineRule="auto"/>
      <w:jc w:val="both"/>
      <w:outlineLvl w:val="0"/>
    </w:pPr>
    <w:rPr>
      <w:rFonts w:eastAsia="Times New Roman" w:cs="Arial"/>
      <w:b/>
      <w:bCs/>
      <w:caps/>
      <w:color w:val="244061" w:themeColor="accent1" w:themeShade="80"/>
      <w:sz w:val="28"/>
      <w:szCs w:val="24"/>
      <w:lang w:eastAsia="fr-FR"/>
    </w:rPr>
  </w:style>
  <w:style w:type="paragraph" w:styleId="Titre2">
    <w:name w:val="heading 2"/>
    <w:basedOn w:val="Normal"/>
    <w:next w:val="Normal"/>
    <w:link w:val="Titre2Car"/>
    <w:unhideWhenUsed/>
    <w:qFormat/>
    <w:rsid w:val="00911CDB"/>
    <w:pPr>
      <w:keepNext/>
      <w:widowControl w:val="0"/>
      <w:numPr>
        <w:ilvl w:val="1"/>
        <w:numId w:val="1"/>
      </w:numPr>
      <w:spacing w:before="120" w:after="0" w:line="240" w:lineRule="auto"/>
      <w:ind w:left="1152"/>
      <w:jc w:val="both"/>
      <w:outlineLvl w:val="1"/>
    </w:pPr>
    <w:rPr>
      <w:rFonts w:eastAsia="Times New Roman" w:cs="Arial"/>
      <w:b/>
      <w:bCs/>
      <w:color w:val="244061" w:themeColor="accent1" w:themeShade="80"/>
      <w:sz w:val="26"/>
      <w:szCs w:val="28"/>
      <w:lang w:eastAsia="fr-FR"/>
    </w:rPr>
  </w:style>
  <w:style w:type="paragraph" w:styleId="Titre3">
    <w:name w:val="heading 3"/>
    <w:basedOn w:val="Normal"/>
    <w:next w:val="Normal"/>
    <w:link w:val="Titre3Car"/>
    <w:unhideWhenUsed/>
    <w:qFormat/>
    <w:rsid w:val="00F73FBD"/>
    <w:pPr>
      <w:keepNext/>
      <w:widowControl w:val="0"/>
      <w:numPr>
        <w:ilvl w:val="2"/>
        <w:numId w:val="1"/>
      </w:numPr>
      <w:spacing w:before="120" w:after="0" w:line="240" w:lineRule="auto"/>
      <w:jc w:val="both"/>
      <w:outlineLvl w:val="2"/>
    </w:pPr>
    <w:rPr>
      <w:rFonts w:ascii="Arial" w:eastAsia="Times New Roman" w:hAnsi="Arial" w:cs="Arial"/>
      <w:b/>
      <w:bCs/>
      <w:i/>
      <w:sz w:val="20"/>
      <w:szCs w:val="26"/>
      <w:lang w:eastAsia="fr-FR"/>
    </w:rPr>
  </w:style>
  <w:style w:type="paragraph" w:styleId="Titre4">
    <w:name w:val="heading 4"/>
    <w:basedOn w:val="Normal"/>
    <w:next w:val="Normal"/>
    <w:link w:val="Titre4Car"/>
    <w:unhideWhenUsed/>
    <w:qFormat/>
    <w:rsid w:val="00F73FBD"/>
    <w:pPr>
      <w:keepNext/>
      <w:widowControl w:val="0"/>
      <w:numPr>
        <w:ilvl w:val="3"/>
        <w:numId w:val="1"/>
      </w:numPr>
      <w:spacing w:before="240" w:after="60" w:line="240" w:lineRule="auto"/>
      <w:jc w:val="both"/>
      <w:outlineLvl w:val="3"/>
    </w:pPr>
    <w:rPr>
      <w:rFonts w:ascii="Times New Roman" w:eastAsia="Times New Roman" w:hAnsi="Times New Roman" w:cs="Times New Roman"/>
      <w:b/>
      <w:bCs/>
      <w:sz w:val="28"/>
      <w:szCs w:val="28"/>
      <w:lang w:eastAsia="fr-FR"/>
    </w:rPr>
  </w:style>
  <w:style w:type="paragraph" w:styleId="Titre5">
    <w:name w:val="heading 5"/>
    <w:basedOn w:val="Normal"/>
    <w:next w:val="Normal"/>
    <w:link w:val="Titre5Car"/>
    <w:semiHidden/>
    <w:unhideWhenUsed/>
    <w:qFormat/>
    <w:rsid w:val="00F73FBD"/>
    <w:pPr>
      <w:widowControl w:val="0"/>
      <w:numPr>
        <w:ilvl w:val="4"/>
        <w:numId w:val="1"/>
      </w:numPr>
      <w:spacing w:before="240" w:after="60" w:line="240" w:lineRule="auto"/>
      <w:jc w:val="both"/>
      <w:outlineLvl w:val="4"/>
    </w:pPr>
    <w:rPr>
      <w:rFonts w:ascii="Arial" w:eastAsia="Times New Roman" w:hAnsi="Arial" w:cs="Times New Roman"/>
      <w:b/>
      <w:bCs/>
      <w:i/>
      <w:iCs/>
      <w:sz w:val="26"/>
      <w:szCs w:val="26"/>
      <w:lang w:eastAsia="fr-FR"/>
    </w:rPr>
  </w:style>
  <w:style w:type="paragraph" w:styleId="Titre6">
    <w:name w:val="heading 6"/>
    <w:basedOn w:val="Normal"/>
    <w:next w:val="Normal"/>
    <w:link w:val="Titre6Car"/>
    <w:semiHidden/>
    <w:unhideWhenUsed/>
    <w:qFormat/>
    <w:rsid w:val="00F73FBD"/>
    <w:pPr>
      <w:widowControl w:val="0"/>
      <w:numPr>
        <w:ilvl w:val="5"/>
        <w:numId w:val="1"/>
      </w:numPr>
      <w:spacing w:before="240" w:after="60" w:line="240" w:lineRule="auto"/>
      <w:jc w:val="both"/>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semiHidden/>
    <w:unhideWhenUsed/>
    <w:qFormat/>
    <w:rsid w:val="00F73FBD"/>
    <w:pPr>
      <w:widowControl w:val="0"/>
      <w:numPr>
        <w:ilvl w:val="6"/>
        <w:numId w:val="1"/>
      </w:numPr>
      <w:spacing w:before="240" w:after="60" w:line="240" w:lineRule="auto"/>
      <w:jc w:val="both"/>
      <w:outlineLvl w:val="6"/>
    </w:pPr>
    <w:rPr>
      <w:rFonts w:ascii="Times New Roman" w:eastAsia="Times New Roman" w:hAnsi="Times New Roman" w:cs="Times New Roman"/>
      <w:szCs w:val="24"/>
      <w:lang w:eastAsia="fr-FR"/>
    </w:rPr>
  </w:style>
  <w:style w:type="paragraph" w:styleId="Titre8">
    <w:name w:val="heading 8"/>
    <w:basedOn w:val="Normal"/>
    <w:next w:val="Normal"/>
    <w:link w:val="Titre8Car"/>
    <w:semiHidden/>
    <w:unhideWhenUsed/>
    <w:qFormat/>
    <w:rsid w:val="00F73FBD"/>
    <w:pPr>
      <w:widowControl w:val="0"/>
      <w:numPr>
        <w:ilvl w:val="7"/>
        <w:numId w:val="1"/>
      </w:numPr>
      <w:spacing w:before="240" w:after="60" w:line="240" w:lineRule="auto"/>
      <w:jc w:val="both"/>
      <w:outlineLvl w:val="7"/>
    </w:pPr>
    <w:rPr>
      <w:rFonts w:ascii="Times New Roman" w:eastAsia="Times New Roman" w:hAnsi="Times New Roman" w:cs="Times New Roman"/>
      <w:i/>
      <w:iCs/>
      <w:szCs w:val="24"/>
      <w:lang w:eastAsia="fr-FR"/>
    </w:rPr>
  </w:style>
  <w:style w:type="paragraph" w:styleId="Titre9">
    <w:name w:val="heading 9"/>
    <w:basedOn w:val="Normal"/>
    <w:next w:val="Normal"/>
    <w:link w:val="Titre9Car"/>
    <w:semiHidden/>
    <w:unhideWhenUsed/>
    <w:qFormat/>
    <w:rsid w:val="00F73FBD"/>
    <w:pPr>
      <w:widowControl w:val="0"/>
      <w:numPr>
        <w:ilvl w:val="8"/>
        <w:numId w:val="1"/>
      </w:numPr>
      <w:spacing w:before="240" w:after="60" w:line="240" w:lineRule="auto"/>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11CDB"/>
    <w:rPr>
      <w:rFonts w:ascii="Century Gothic" w:eastAsia="Times New Roman" w:hAnsi="Century Gothic" w:cs="Arial"/>
      <w:b/>
      <w:bCs/>
      <w:caps/>
      <w:color w:val="244061" w:themeColor="accent1" w:themeShade="80"/>
      <w:sz w:val="28"/>
      <w:szCs w:val="24"/>
      <w:lang w:eastAsia="fr-FR"/>
    </w:rPr>
  </w:style>
  <w:style w:type="character" w:customStyle="1" w:styleId="Titre2Car">
    <w:name w:val="Titre 2 Car"/>
    <w:basedOn w:val="Policepardfaut"/>
    <w:link w:val="Titre2"/>
    <w:rsid w:val="00911CDB"/>
    <w:rPr>
      <w:rFonts w:ascii="Century Gothic" w:eastAsia="Times New Roman" w:hAnsi="Century Gothic" w:cs="Arial"/>
      <w:b/>
      <w:bCs/>
      <w:color w:val="244061" w:themeColor="accent1" w:themeShade="80"/>
      <w:sz w:val="26"/>
      <w:szCs w:val="28"/>
      <w:lang w:eastAsia="fr-FR"/>
    </w:rPr>
  </w:style>
  <w:style w:type="character" w:customStyle="1" w:styleId="Titre3Car">
    <w:name w:val="Titre 3 Car"/>
    <w:basedOn w:val="Policepardfaut"/>
    <w:link w:val="Titre3"/>
    <w:rsid w:val="00F73FBD"/>
    <w:rPr>
      <w:rFonts w:ascii="Arial" w:eastAsia="Times New Roman" w:hAnsi="Arial" w:cs="Arial"/>
      <w:b/>
      <w:bCs/>
      <w:i/>
      <w:sz w:val="20"/>
      <w:szCs w:val="26"/>
      <w:lang w:eastAsia="fr-FR"/>
    </w:rPr>
  </w:style>
  <w:style w:type="character" w:customStyle="1" w:styleId="Titre4Car">
    <w:name w:val="Titre 4 Car"/>
    <w:basedOn w:val="Policepardfaut"/>
    <w:link w:val="Titre4"/>
    <w:rsid w:val="00F73FBD"/>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semiHidden/>
    <w:rsid w:val="00F73FBD"/>
    <w:rPr>
      <w:rFonts w:ascii="Arial" w:eastAsia="Times New Roman" w:hAnsi="Arial" w:cs="Times New Roman"/>
      <w:b/>
      <w:bCs/>
      <w:i/>
      <w:iCs/>
      <w:sz w:val="26"/>
      <w:szCs w:val="26"/>
      <w:lang w:eastAsia="fr-FR"/>
    </w:rPr>
  </w:style>
  <w:style w:type="character" w:customStyle="1" w:styleId="Titre6Car">
    <w:name w:val="Titre 6 Car"/>
    <w:basedOn w:val="Policepardfaut"/>
    <w:link w:val="Titre6"/>
    <w:semiHidden/>
    <w:rsid w:val="00F73FBD"/>
    <w:rPr>
      <w:rFonts w:ascii="Times New Roman" w:eastAsia="Times New Roman" w:hAnsi="Times New Roman" w:cs="Times New Roman"/>
      <w:b/>
      <w:bCs/>
      <w:lang w:eastAsia="fr-FR"/>
    </w:rPr>
  </w:style>
  <w:style w:type="character" w:customStyle="1" w:styleId="Titre7Car">
    <w:name w:val="Titre 7 Car"/>
    <w:basedOn w:val="Policepardfaut"/>
    <w:link w:val="Titre7"/>
    <w:semiHidden/>
    <w:rsid w:val="00F73FBD"/>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semiHidden/>
    <w:rsid w:val="00F73FBD"/>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semiHidden/>
    <w:rsid w:val="00F73FBD"/>
    <w:rPr>
      <w:rFonts w:ascii="Arial" w:eastAsia="Times New Roman" w:hAnsi="Arial" w:cs="Arial"/>
      <w:lang w:eastAsia="fr-FR"/>
    </w:rPr>
  </w:style>
  <w:style w:type="paragraph" w:styleId="En-tte">
    <w:name w:val="header"/>
    <w:basedOn w:val="Normal"/>
    <w:link w:val="En-tteCar"/>
    <w:unhideWhenUsed/>
    <w:rsid w:val="00312E4C"/>
    <w:pPr>
      <w:tabs>
        <w:tab w:val="center" w:pos="4536"/>
        <w:tab w:val="right" w:pos="9072"/>
      </w:tabs>
      <w:spacing w:after="0" w:line="240" w:lineRule="auto"/>
    </w:pPr>
  </w:style>
  <w:style w:type="character" w:customStyle="1" w:styleId="En-tteCar">
    <w:name w:val="En-tête Car"/>
    <w:basedOn w:val="Policepardfaut"/>
    <w:link w:val="En-tte"/>
    <w:rsid w:val="00312E4C"/>
  </w:style>
  <w:style w:type="paragraph" w:styleId="Pieddepage">
    <w:name w:val="footer"/>
    <w:basedOn w:val="Normal"/>
    <w:link w:val="PieddepageCar"/>
    <w:uiPriority w:val="99"/>
    <w:unhideWhenUsed/>
    <w:rsid w:val="00312E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2E4C"/>
  </w:style>
  <w:style w:type="paragraph" w:styleId="Textedebulles">
    <w:name w:val="Balloon Text"/>
    <w:basedOn w:val="Normal"/>
    <w:link w:val="TextedebullesCar"/>
    <w:uiPriority w:val="99"/>
    <w:semiHidden/>
    <w:unhideWhenUsed/>
    <w:rsid w:val="00F73F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3FBD"/>
    <w:rPr>
      <w:rFonts w:ascii="Tahoma" w:hAnsi="Tahoma" w:cs="Tahoma"/>
      <w:sz w:val="16"/>
      <w:szCs w:val="16"/>
    </w:rPr>
  </w:style>
  <w:style w:type="paragraph" w:customStyle="1" w:styleId="Legendes">
    <w:name w:val="Legendes"/>
    <w:basedOn w:val="Normal"/>
    <w:qFormat/>
    <w:rsid w:val="008E4B8C"/>
    <w:pPr>
      <w:widowControl w:val="0"/>
      <w:spacing w:before="120" w:after="0" w:line="240" w:lineRule="auto"/>
      <w:jc w:val="center"/>
    </w:pPr>
    <w:rPr>
      <w:rFonts w:eastAsia="Times New Roman" w:cs="Arial"/>
      <w:i/>
      <w:szCs w:val="24"/>
      <w:lang w:eastAsia="fr-FR"/>
    </w:rPr>
  </w:style>
  <w:style w:type="paragraph" w:customStyle="1" w:styleId="Normaltiret">
    <w:name w:val="Normaltiret"/>
    <w:basedOn w:val="Normal"/>
    <w:qFormat/>
    <w:rsid w:val="00AE44A3"/>
    <w:pPr>
      <w:widowControl w:val="0"/>
      <w:numPr>
        <w:numId w:val="2"/>
      </w:numPr>
      <w:spacing w:before="120" w:after="0" w:line="240" w:lineRule="auto"/>
      <w:ind w:left="720"/>
      <w:jc w:val="both"/>
    </w:pPr>
    <w:rPr>
      <w:rFonts w:eastAsia="Times New Roman" w:cs="Times New Roman"/>
      <w:szCs w:val="24"/>
      <w:lang w:eastAsia="fr-FR"/>
    </w:rPr>
  </w:style>
  <w:style w:type="paragraph" w:customStyle="1" w:styleId="titreanx">
    <w:name w:val="titreanx"/>
    <w:basedOn w:val="Titre1"/>
    <w:rsid w:val="00F73FBD"/>
    <w:pPr>
      <w:numPr>
        <w:numId w:val="0"/>
      </w:numPr>
    </w:pPr>
    <w:rPr>
      <w:rFonts w:ascii="Arial" w:hAnsi="Arial"/>
    </w:rPr>
  </w:style>
  <w:style w:type="character" w:styleId="Rfrenceintense">
    <w:name w:val="Intense Reference"/>
    <w:aliases w:val="Référence"/>
    <w:uiPriority w:val="32"/>
    <w:qFormat/>
    <w:rsid w:val="00911CDB"/>
    <w:rPr>
      <w:rFonts w:ascii="Century Gothic" w:hAnsi="Century Gothic"/>
      <w:sz w:val="22"/>
      <w:lang w:val="en-GB"/>
    </w:rPr>
  </w:style>
  <w:style w:type="character" w:styleId="Marquedecommentaire">
    <w:name w:val="annotation reference"/>
    <w:basedOn w:val="Policepardfaut"/>
    <w:uiPriority w:val="99"/>
    <w:semiHidden/>
    <w:unhideWhenUsed/>
    <w:rsid w:val="00330BBB"/>
    <w:rPr>
      <w:sz w:val="16"/>
      <w:szCs w:val="16"/>
    </w:rPr>
  </w:style>
  <w:style w:type="paragraph" w:styleId="Commentaire">
    <w:name w:val="annotation text"/>
    <w:basedOn w:val="Normal"/>
    <w:link w:val="CommentaireCar"/>
    <w:uiPriority w:val="99"/>
    <w:semiHidden/>
    <w:unhideWhenUsed/>
    <w:rsid w:val="00330BBB"/>
    <w:pPr>
      <w:spacing w:line="240" w:lineRule="auto"/>
    </w:pPr>
    <w:rPr>
      <w:sz w:val="20"/>
      <w:szCs w:val="20"/>
    </w:rPr>
  </w:style>
  <w:style w:type="character" w:customStyle="1" w:styleId="CommentaireCar">
    <w:name w:val="Commentaire Car"/>
    <w:basedOn w:val="Policepardfaut"/>
    <w:link w:val="Commentaire"/>
    <w:uiPriority w:val="99"/>
    <w:semiHidden/>
    <w:rsid w:val="00330BBB"/>
    <w:rPr>
      <w:sz w:val="20"/>
      <w:szCs w:val="20"/>
    </w:rPr>
  </w:style>
  <w:style w:type="paragraph" w:styleId="Objetducommentaire">
    <w:name w:val="annotation subject"/>
    <w:basedOn w:val="Commentaire"/>
    <w:next w:val="Commentaire"/>
    <w:link w:val="ObjetducommentaireCar"/>
    <w:uiPriority w:val="99"/>
    <w:semiHidden/>
    <w:unhideWhenUsed/>
    <w:rsid w:val="00330BBB"/>
    <w:rPr>
      <w:b/>
      <w:bCs/>
    </w:rPr>
  </w:style>
  <w:style w:type="character" w:customStyle="1" w:styleId="ObjetducommentaireCar">
    <w:name w:val="Objet du commentaire Car"/>
    <w:basedOn w:val="CommentaireCar"/>
    <w:link w:val="Objetducommentaire"/>
    <w:uiPriority w:val="99"/>
    <w:semiHidden/>
    <w:rsid w:val="00330BBB"/>
    <w:rPr>
      <w:b/>
      <w:bCs/>
      <w:sz w:val="20"/>
      <w:szCs w:val="20"/>
    </w:rPr>
  </w:style>
  <w:style w:type="character" w:styleId="Lienhypertexte">
    <w:name w:val="Hyperlink"/>
    <w:basedOn w:val="Policepardfaut"/>
    <w:unhideWhenUsed/>
    <w:rsid w:val="005B5526"/>
    <w:rPr>
      <w:color w:val="0000FF" w:themeColor="hyperlink"/>
      <w:u w:val="single"/>
    </w:rPr>
  </w:style>
  <w:style w:type="paragraph" w:customStyle="1" w:styleId="Betreff">
    <w:name w:val="Betreff"/>
    <w:basedOn w:val="Normal"/>
    <w:next w:val="Normal"/>
    <w:rsid w:val="00221DA8"/>
    <w:pPr>
      <w:widowControl w:val="0"/>
      <w:autoSpaceDE w:val="0"/>
      <w:autoSpaceDN w:val="0"/>
      <w:adjustRightInd w:val="0"/>
      <w:spacing w:before="120" w:after="120" w:line="240" w:lineRule="auto"/>
      <w:ind w:right="107"/>
      <w:jc w:val="both"/>
    </w:pPr>
    <w:rPr>
      <w:rFonts w:ascii="Arial" w:eastAsia="Times New Roman" w:hAnsi="Arial" w:cstheme="majorHAnsi"/>
      <w:b/>
      <w:sz w:val="20"/>
      <w:lang w:eastAsia="de-DE"/>
    </w:rPr>
  </w:style>
  <w:style w:type="paragraph" w:customStyle="1" w:styleId="Bullets">
    <w:name w:val="Bullets"/>
    <w:basedOn w:val="Normal"/>
    <w:link w:val="BulletsChar"/>
    <w:rsid w:val="00221DA8"/>
    <w:pPr>
      <w:widowControl w:val="0"/>
      <w:numPr>
        <w:numId w:val="3"/>
      </w:numPr>
      <w:autoSpaceDE w:val="0"/>
      <w:autoSpaceDN w:val="0"/>
      <w:adjustRightInd w:val="0"/>
      <w:spacing w:before="120" w:after="120" w:line="240" w:lineRule="auto"/>
      <w:ind w:right="107"/>
      <w:jc w:val="both"/>
    </w:pPr>
    <w:rPr>
      <w:rFonts w:ascii="Arial" w:eastAsia="Times New Roman" w:hAnsi="Arial" w:cstheme="majorHAnsi"/>
      <w:sz w:val="20"/>
      <w:lang w:eastAsia="de-DE"/>
    </w:rPr>
  </w:style>
  <w:style w:type="character" w:customStyle="1" w:styleId="BulletsChar">
    <w:name w:val="Bullets Char"/>
    <w:link w:val="Bullets"/>
    <w:rsid w:val="00221DA8"/>
    <w:rPr>
      <w:rFonts w:ascii="Arial" w:eastAsia="Times New Roman" w:hAnsi="Arial" w:cstheme="majorHAnsi"/>
      <w:sz w:val="20"/>
      <w:lang w:eastAsia="de-DE"/>
    </w:rPr>
  </w:style>
  <w:style w:type="table" w:customStyle="1" w:styleId="Copernicus">
    <w:name w:val="Copernicus"/>
    <w:basedOn w:val="TableauNormal"/>
    <w:rsid w:val="00221DA8"/>
    <w:pPr>
      <w:spacing w:after="0" w:line="240" w:lineRule="auto"/>
    </w:pPr>
    <w:rPr>
      <w:rFonts w:ascii="Verdana" w:eastAsia="Times New Roman" w:hAnsi="Verdana" w:cs="Times New Roman"/>
      <w:sz w:val="19"/>
      <w:szCs w:val="20"/>
      <w:lang w:val="en-GB" w:eastAsia="en-GB"/>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customStyle="1" w:styleId="Kontakt">
    <w:name w:val="Kontakt"/>
    <w:basedOn w:val="Normal"/>
    <w:rsid w:val="00221DA8"/>
    <w:pPr>
      <w:widowControl w:val="0"/>
      <w:autoSpaceDE w:val="0"/>
      <w:autoSpaceDN w:val="0"/>
      <w:adjustRightInd w:val="0"/>
      <w:spacing w:before="120" w:after="120" w:line="160" w:lineRule="exact"/>
      <w:ind w:right="107"/>
      <w:jc w:val="both"/>
    </w:pPr>
    <w:rPr>
      <w:rFonts w:ascii="Arial" w:eastAsia="Times New Roman" w:hAnsi="Arial" w:cstheme="majorHAnsi"/>
      <w:color w:val="808080"/>
      <w:sz w:val="13"/>
      <w:lang w:eastAsia="de-DE"/>
    </w:rPr>
  </w:style>
  <w:style w:type="paragraph" w:customStyle="1" w:styleId="Name">
    <w:name w:val="Name"/>
    <w:basedOn w:val="Normal"/>
    <w:rsid w:val="00221DA8"/>
    <w:pPr>
      <w:widowControl w:val="0"/>
      <w:autoSpaceDE w:val="0"/>
      <w:autoSpaceDN w:val="0"/>
      <w:adjustRightInd w:val="0"/>
      <w:spacing w:before="160" w:after="80" w:line="240" w:lineRule="auto"/>
      <w:ind w:right="107"/>
      <w:jc w:val="both"/>
    </w:pPr>
    <w:rPr>
      <w:rFonts w:ascii="Book Antiqua" w:eastAsia="Times New Roman" w:hAnsi="Book Antiqua" w:cstheme="majorHAnsi"/>
      <w:color w:val="808080"/>
      <w:sz w:val="20"/>
      <w:lang w:eastAsia="de-DE"/>
    </w:rPr>
  </w:style>
  <w:style w:type="paragraph" w:customStyle="1" w:styleId="CopernicusWordtemplate">
    <w:name w:val="Copernicus_Word_template"/>
    <w:basedOn w:val="Normal"/>
    <w:link w:val="CopernicusWordtemplateChar"/>
    <w:rsid w:val="00221DA8"/>
    <w:pPr>
      <w:widowControl w:val="0"/>
      <w:autoSpaceDE w:val="0"/>
      <w:autoSpaceDN w:val="0"/>
      <w:adjustRightInd w:val="0"/>
      <w:spacing w:before="120" w:after="120" w:line="240" w:lineRule="auto"/>
      <w:ind w:right="107"/>
      <w:jc w:val="both"/>
    </w:pPr>
    <w:rPr>
      <w:rFonts w:ascii="Arial" w:eastAsia="Times New Roman" w:hAnsi="Arial" w:cstheme="majorHAnsi"/>
      <w:sz w:val="20"/>
      <w:lang w:eastAsia="de-DE"/>
    </w:rPr>
  </w:style>
  <w:style w:type="character" w:customStyle="1" w:styleId="CopernicusWordtemplateChar">
    <w:name w:val="Copernicus_Word_template Char"/>
    <w:basedOn w:val="Policepardfaut"/>
    <w:link w:val="CopernicusWordtemplate"/>
    <w:rsid w:val="00221DA8"/>
    <w:rPr>
      <w:rFonts w:ascii="Arial" w:eastAsia="Times New Roman" w:hAnsi="Arial" w:cstheme="majorHAnsi"/>
      <w:sz w:val="20"/>
      <w:lang w:eastAsia="de-DE"/>
    </w:rPr>
  </w:style>
  <w:style w:type="paragraph" w:customStyle="1" w:styleId="MStitle">
    <w:name w:val="MS title"/>
    <w:basedOn w:val="Normal"/>
    <w:link w:val="MStitleChar"/>
    <w:qFormat/>
    <w:rsid w:val="00221DA8"/>
    <w:pPr>
      <w:widowControl w:val="0"/>
      <w:autoSpaceDE w:val="0"/>
      <w:autoSpaceDN w:val="0"/>
      <w:adjustRightInd w:val="0"/>
      <w:spacing w:before="240" w:after="240" w:line="440" w:lineRule="exact"/>
      <w:ind w:right="108"/>
      <w:contextualSpacing/>
      <w:jc w:val="both"/>
    </w:pPr>
    <w:rPr>
      <w:rFonts w:ascii="Arial Gras" w:eastAsia="Times New Roman" w:hAnsi="Arial Gras" w:cs="Arial"/>
      <w:b/>
      <w:color w:val="76923C" w:themeColor="accent3" w:themeShade="BF"/>
      <w:sz w:val="28"/>
      <w:lang w:eastAsia="de-DE"/>
    </w:rPr>
  </w:style>
  <w:style w:type="character" w:customStyle="1" w:styleId="MStitleChar">
    <w:name w:val="MS title Char"/>
    <w:basedOn w:val="Policepardfaut"/>
    <w:link w:val="MStitle"/>
    <w:rsid w:val="00221DA8"/>
    <w:rPr>
      <w:rFonts w:ascii="Arial Gras" w:eastAsia="Times New Roman" w:hAnsi="Arial Gras" w:cs="Arial"/>
      <w:b/>
      <w:color w:val="76923C" w:themeColor="accent3" w:themeShade="BF"/>
      <w:sz w:val="28"/>
      <w:lang w:eastAsia="de-DE"/>
    </w:rPr>
  </w:style>
  <w:style w:type="paragraph" w:styleId="Paragraphedeliste">
    <w:name w:val="List Paragraph"/>
    <w:basedOn w:val="Normal"/>
    <w:uiPriority w:val="34"/>
    <w:rsid w:val="00221DA8"/>
    <w:pPr>
      <w:widowControl w:val="0"/>
      <w:autoSpaceDE w:val="0"/>
      <w:autoSpaceDN w:val="0"/>
      <w:adjustRightInd w:val="0"/>
      <w:spacing w:before="120" w:after="120" w:line="240" w:lineRule="auto"/>
      <w:ind w:left="720" w:right="107"/>
      <w:contextualSpacing/>
      <w:jc w:val="both"/>
    </w:pPr>
    <w:rPr>
      <w:rFonts w:ascii="Arial" w:eastAsia="Times New Roman" w:hAnsi="Arial" w:cstheme="majorHAnsi"/>
      <w:sz w:val="20"/>
      <w:lang w:eastAsia="de-DE"/>
    </w:rPr>
  </w:style>
  <w:style w:type="paragraph" w:customStyle="1" w:styleId="Affiliation">
    <w:name w:val="Affiliation"/>
    <w:basedOn w:val="Normal"/>
    <w:link w:val="AffiliationChar"/>
    <w:qFormat/>
    <w:rsid w:val="00221DA8"/>
    <w:pPr>
      <w:widowControl w:val="0"/>
      <w:autoSpaceDE w:val="0"/>
      <w:autoSpaceDN w:val="0"/>
      <w:adjustRightInd w:val="0"/>
      <w:spacing w:before="120" w:after="120" w:line="240" w:lineRule="auto"/>
      <w:ind w:right="107"/>
      <w:contextualSpacing/>
      <w:jc w:val="both"/>
    </w:pPr>
    <w:rPr>
      <w:rFonts w:ascii="Arial" w:eastAsia="Times New Roman" w:hAnsi="Arial" w:cstheme="majorHAnsi"/>
      <w:sz w:val="20"/>
      <w:lang w:eastAsia="de-DE"/>
    </w:rPr>
  </w:style>
  <w:style w:type="character" w:customStyle="1" w:styleId="AffiliationChar">
    <w:name w:val="Affiliation Char"/>
    <w:basedOn w:val="Policepardfaut"/>
    <w:link w:val="Affiliation"/>
    <w:rsid w:val="00221DA8"/>
    <w:rPr>
      <w:rFonts w:ascii="Arial" w:eastAsia="Times New Roman" w:hAnsi="Arial" w:cstheme="majorHAnsi"/>
      <w:sz w:val="20"/>
      <w:lang w:eastAsia="de-DE"/>
    </w:rPr>
  </w:style>
  <w:style w:type="paragraph" w:customStyle="1" w:styleId="Equation">
    <w:name w:val="Equation"/>
    <w:basedOn w:val="Normal"/>
    <w:link w:val="EquationChar"/>
    <w:rsid w:val="00221DA8"/>
    <w:pPr>
      <w:widowControl w:val="0"/>
      <w:autoSpaceDE w:val="0"/>
      <w:autoSpaceDN w:val="0"/>
      <w:adjustRightInd w:val="0"/>
      <w:spacing w:before="120" w:after="120" w:line="240" w:lineRule="auto"/>
      <w:ind w:right="107"/>
      <w:jc w:val="both"/>
    </w:pPr>
    <w:rPr>
      <w:rFonts w:ascii="Cambria Math" w:eastAsia="Times New Roman" w:hAnsi="Cambria Math" w:cstheme="majorHAnsi"/>
      <w:sz w:val="20"/>
      <w:lang w:eastAsia="de-DE"/>
    </w:rPr>
  </w:style>
  <w:style w:type="character" w:customStyle="1" w:styleId="EquationChar">
    <w:name w:val="Equation Char"/>
    <w:basedOn w:val="Policepardfaut"/>
    <w:link w:val="Equation"/>
    <w:rsid w:val="00221DA8"/>
    <w:rPr>
      <w:rFonts w:ascii="Cambria Math" w:eastAsia="Times New Roman" w:hAnsi="Cambria Math" w:cstheme="majorHAnsi"/>
      <w:sz w:val="20"/>
      <w:lang w:eastAsia="de-DE"/>
    </w:rPr>
  </w:style>
  <w:style w:type="paragraph" w:styleId="Lgende">
    <w:name w:val="caption"/>
    <w:basedOn w:val="Normal"/>
    <w:next w:val="Normal"/>
    <w:uiPriority w:val="35"/>
    <w:unhideWhenUsed/>
    <w:qFormat/>
    <w:rsid w:val="00221DA8"/>
    <w:pPr>
      <w:widowControl w:val="0"/>
      <w:autoSpaceDE w:val="0"/>
      <w:autoSpaceDN w:val="0"/>
      <w:adjustRightInd w:val="0"/>
      <w:spacing w:before="120" w:line="240" w:lineRule="auto"/>
      <w:ind w:right="107"/>
      <w:jc w:val="both"/>
    </w:pPr>
    <w:rPr>
      <w:rFonts w:ascii="Arial" w:eastAsia="Times New Roman" w:hAnsi="Arial" w:cstheme="majorHAnsi"/>
      <w:b/>
      <w:bCs/>
      <w:sz w:val="18"/>
      <w:szCs w:val="18"/>
      <w:lang w:eastAsia="de-DE"/>
    </w:rPr>
  </w:style>
  <w:style w:type="paragraph" w:customStyle="1" w:styleId="Correspondence">
    <w:name w:val="Correspondence"/>
    <w:basedOn w:val="Normal"/>
    <w:link w:val="CorrespondenceChar"/>
    <w:qFormat/>
    <w:rsid w:val="00221DA8"/>
    <w:pPr>
      <w:widowControl w:val="0"/>
      <w:autoSpaceDE w:val="0"/>
      <w:autoSpaceDN w:val="0"/>
      <w:adjustRightInd w:val="0"/>
      <w:spacing w:before="120" w:after="360" w:line="240" w:lineRule="auto"/>
      <w:ind w:right="107"/>
      <w:jc w:val="both"/>
    </w:pPr>
    <w:rPr>
      <w:rFonts w:ascii="Arial" w:eastAsia="Times New Roman" w:hAnsi="Arial" w:cstheme="majorHAnsi"/>
      <w:sz w:val="20"/>
      <w:lang w:eastAsia="de-DE"/>
    </w:rPr>
  </w:style>
  <w:style w:type="character" w:customStyle="1" w:styleId="CorrespondenceChar">
    <w:name w:val="Correspondence Char"/>
    <w:basedOn w:val="Policepardfaut"/>
    <w:link w:val="Correspondence"/>
    <w:rsid w:val="00221DA8"/>
    <w:rPr>
      <w:rFonts w:ascii="Arial" w:eastAsia="Times New Roman" w:hAnsi="Arial" w:cstheme="majorHAnsi"/>
      <w:sz w:val="20"/>
      <w:lang w:eastAsia="de-DE"/>
    </w:rPr>
  </w:style>
  <w:style w:type="paragraph" w:customStyle="1" w:styleId="Authors">
    <w:name w:val="Authors"/>
    <w:basedOn w:val="Normal"/>
    <w:link w:val="AuthorsChar"/>
    <w:qFormat/>
    <w:rsid w:val="00221DA8"/>
    <w:pPr>
      <w:widowControl w:val="0"/>
      <w:autoSpaceDE w:val="0"/>
      <w:autoSpaceDN w:val="0"/>
      <w:adjustRightInd w:val="0"/>
      <w:spacing w:before="180" w:after="120" w:line="240" w:lineRule="auto"/>
      <w:ind w:right="107"/>
      <w:contextualSpacing/>
      <w:jc w:val="both"/>
    </w:pPr>
    <w:rPr>
      <w:rFonts w:ascii="Arial" w:eastAsia="Times New Roman" w:hAnsi="Arial" w:cstheme="majorHAnsi"/>
      <w:sz w:val="24"/>
      <w:lang w:eastAsia="de-DE"/>
    </w:rPr>
  </w:style>
  <w:style w:type="character" w:customStyle="1" w:styleId="AuthorsChar">
    <w:name w:val="Authors Char"/>
    <w:basedOn w:val="Policepardfaut"/>
    <w:link w:val="Authors"/>
    <w:rsid w:val="00221DA8"/>
    <w:rPr>
      <w:rFonts w:ascii="Arial" w:eastAsia="Times New Roman" w:hAnsi="Arial" w:cstheme="majorHAnsi"/>
      <w:sz w:val="24"/>
      <w:lang w:eastAsia="de-DE"/>
    </w:rPr>
  </w:style>
  <w:style w:type="character" w:styleId="lev">
    <w:name w:val="Strong"/>
    <w:basedOn w:val="Policepardfaut"/>
    <w:uiPriority w:val="22"/>
    <w:qFormat/>
    <w:rsid w:val="00221DA8"/>
    <w:rPr>
      <w:b/>
      <w:bCs/>
    </w:rPr>
  </w:style>
  <w:style w:type="paragraph" w:styleId="Citationintense">
    <w:name w:val="Intense Quote"/>
    <w:basedOn w:val="Normal"/>
    <w:next w:val="Normal"/>
    <w:link w:val="CitationintenseCar"/>
    <w:uiPriority w:val="30"/>
    <w:qFormat/>
    <w:rsid w:val="00221DA8"/>
    <w:pPr>
      <w:widowControl w:val="0"/>
      <w:pBdr>
        <w:top w:val="single" w:sz="4" w:space="10" w:color="4F81BD" w:themeColor="accent1"/>
        <w:bottom w:val="single" w:sz="4" w:space="10" w:color="4F81BD" w:themeColor="accent1"/>
      </w:pBdr>
      <w:autoSpaceDE w:val="0"/>
      <w:autoSpaceDN w:val="0"/>
      <w:adjustRightInd w:val="0"/>
      <w:spacing w:before="120" w:after="120" w:line="300" w:lineRule="auto"/>
      <w:ind w:right="108"/>
    </w:pPr>
    <w:rPr>
      <w:rFonts w:asciiTheme="minorHAnsi" w:hAnsiTheme="minorHAnsi"/>
      <w:i/>
      <w:iCs/>
      <w:color w:val="4F81BD" w:themeColor="accent1"/>
      <w:sz w:val="26"/>
      <w:szCs w:val="26"/>
    </w:rPr>
  </w:style>
  <w:style w:type="character" w:customStyle="1" w:styleId="CitationintenseCar">
    <w:name w:val="Citation intense Car"/>
    <w:basedOn w:val="Policepardfaut"/>
    <w:link w:val="Citationintense"/>
    <w:uiPriority w:val="30"/>
    <w:rsid w:val="00221DA8"/>
    <w:rPr>
      <w:i/>
      <w:iCs/>
      <w:color w:val="4F81BD" w:themeColor="accent1"/>
      <w:sz w:val="26"/>
      <w:szCs w:val="26"/>
    </w:rPr>
  </w:style>
  <w:style w:type="character" w:customStyle="1" w:styleId="ilfuvd">
    <w:name w:val="ilfuvd"/>
    <w:basedOn w:val="Policepardfaut"/>
    <w:rsid w:val="00221DA8"/>
  </w:style>
  <w:style w:type="character" w:customStyle="1" w:styleId="ExplorateurdedocumentsCar">
    <w:name w:val="Explorateur de documents Car"/>
    <w:basedOn w:val="Policepardfaut"/>
    <w:link w:val="Explorateurdedocuments"/>
    <w:uiPriority w:val="99"/>
    <w:semiHidden/>
    <w:rsid w:val="00221DA8"/>
    <w:rPr>
      <w:rFonts w:ascii="Tahoma" w:eastAsia="Times New Roman" w:hAnsi="Tahoma" w:cs="Tahoma"/>
      <w:sz w:val="16"/>
      <w:szCs w:val="16"/>
      <w:lang w:eastAsia="de-DE"/>
    </w:rPr>
  </w:style>
  <w:style w:type="paragraph" w:styleId="Explorateurdedocuments">
    <w:name w:val="Document Map"/>
    <w:basedOn w:val="Normal"/>
    <w:link w:val="ExplorateurdedocumentsCar"/>
    <w:uiPriority w:val="99"/>
    <w:semiHidden/>
    <w:unhideWhenUsed/>
    <w:rsid w:val="00221DA8"/>
    <w:pPr>
      <w:widowControl w:val="0"/>
      <w:autoSpaceDE w:val="0"/>
      <w:autoSpaceDN w:val="0"/>
      <w:adjustRightInd w:val="0"/>
      <w:spacing w:before="120" w:after="120" w:line="240" w:lineRule="auto"/>
      <w:ind w:right="107"/>
      <w:jc w:val="both"/>
    </w:pPr>
    <w:rPr>
      <w:rFonts w:ascii="Tahoma" w:eastAsia="Times New Roman" w:hAnsi="Tahoma" w:cs="Tahoma"/>
      <w:sz w:val="16"/>
      <w:szCs w:val="16"/>
      <w:lang w:eastAsia="de-DE"/>
    </w:rPr>
  </w:style>
  <w:style w:type="paragraph" w:styleId="Notedebasdepage">
    <w:name w:val="footnote text"/>
    <w:basedOn w:val="Normal"/>
    <w:link w:val="NotedebasdepageCar"/>
    <w:uiPriority w:val="99"/>
    <w:semiHidden/>
    <w:unhideWhenUsed/>
    <w:rsid w:val="003B169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169B"/>
    <w:rPr>
      <w:rFonts w:ascii="Century Gothic" w:hAnsi="Century Gothic"/>
      <w:sz w:val="20"/>
      <w:szCs w:val="20"/>
    </w:rPr>
  </w:style>
  <w:style w:type="character" w:styleId="Appelnotedebasdep">
    <w:name w:val="footnote reference"/>
    <w:basedOn w:val="Policepardfaut"/>
    <w:uiPriority w:val="99"/>
    <w:semiHidden/>
    <w:unhideWhenUsed/>
    <w:rsid w:val="003B169B"/>
    <w:rPr>
      <w:vertAlign w:val="superscript"/>
    </w:rPr>
  </w:style>
  <w:style w:type="paragraph" w:styleId="Bibliographie">
    <w:name w:val="Bibliography"/>
    <w:basedOn w:val="Normal"/>
    <w:next w:val="Normal"/>
    <w:uiPriority w:val="37"/>
    <w:unhideWhenUsed/>
    <w:rsid w:val="0087600F"/>
    <w:pPr>
      <w:spacing w:after="0" w:line="24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CDB"/>
    <w:rPr>
      <w:rFonts w:ascii="Century Gothic" w:hAnsi="Century Gothic"/>
    </w:rPr>
  </w:style>
  <w:style w:type="paragraph" w:styleId="Titre1">
    <w:name w:val="heading 1"/>
    <w:basedOn w:val="Normal"/>
    <w:next w:val="Normal"/>
    <w:link w:val="Titre1Car"/>
    <w:qFormat/>
    <w:rsid w:val="00911CDB"/>
    <w:pPr>
      <w:keepNext/>
      <w:widowControl w:val="0"/>
      <w:numPr>
        <w:numId w:val="1"/>
      </w:numPr>
      <w:spacing w:before="200" w:after="0" w:line="240" w:lineRule="auto"/>
      <w:jc w:val="both"/>
      <w:outlineLvl w:val="0"/>
    </w:pPr>
    <w:rPr>
      <w:rFonts w:eastAsia="Times New Roman" w:cs="Arial"/>
      <w:b/>
      <w:bCs/>
      <w:caps/>
      <w:color w:val="244061" w:themeColor="accent1" w:themeShade="80"/>
      <w:sz w:val="28"/>
      <w:szCs w:val="24"/>
      <w:lang w:eastAsia="fr-FR"/>
    </w:rPr>
  </w:style>
  <w:style w:type="paragraph" w:styleId="Titre2">
    <w:name w:val="heading 2"/>
    <w:basedOn w:val="Normal"/>
    <w:next w:val="Normal"/>
    <w:link w:val="Titre2Car"/>
    <w:unhideWhenUsed/>
    <w:qFormat/>
    <w:rsid w:val="00911CDB"/>
    <w:pPr>
      <w:keepNext/>
      <w:widowControl w:val="0"/>
      <w:numPr>
        <w:ilvl w:val="1"/>
        <w:numId w:val="1"/>
      </w:numPr>
      <w:spacing w:before="120" w:after="0" w:line="240" w:lineRule="auto"/>
      <w:ind w:left="1152"/>
      <w:jc w:val="both"/>
      <w:outlineLvl w:val="1"/>
    </w:pPr>
    <w:rPr>
      <w:rFonts w:eastAsia="Times New Roman" w:cs="Arial"/>
      <w:b/>
      <w:bCs/>
      <w:color w:val="244061" w:themeColor="accent1" w:themeShade="80"/>
      <w:sz w:val="26"/>
      <w:szCs w:val="28"/>
      <w:lang w:eastAsia="fr-FR"/>
    </w:rPr>
  </w:style>
  <w:style w:type="paragraph" w:styleId="Titre3">
    <w:name w:val="heading 3"/>
    <w:basedOn w:val="Normal"/>
    <w:next w:val="Normal"/>
    <w:link w:val="Titre3Car"/>
    <w:unhideWhenUsed/>
    <w:qFormat/>
    <w:rsid w:val="00F73FBD"/>
    <w:pPr>
      <w:keepNext/>
      <w:widowControl w:val="0"/>
      <w:numPr>
        <w:ilvl w:val="2"/>
        <w:numId w:val="1"/>
      </w:numPr>
      <w:spacing w:before="120" w:after="0" w:line="240" w:lineRule="auto"/>
      <w:jc w:val="both"/>
      <w:outlineLvl w:val="2"/>
    </w:pPr>
    <w:rPr>
      <w:rFonts w:ascii="Arial" w:eastAsia="Times New Roman" w:hAnsi="Arial" w:cs="Arial"/>
      <w:b/>
      <w:bCs/>
      <w:i/>
      <w:sz w:val="20"/>
      <w:szCs w:val="26"/>
      <w:lang w:eastAsia="fr-FR"/>
    </w:rPr>
  </w:style>
  <w:style w:type="paragraph" w:styleId="Titre4">
    <w:name w:val="heading 4"/>
    <w:basedOn w:val="Normal"/>
    <w:next w:val="Normal"/>
    <w:link w:val="Titre4Car"/>
    <w:unhideWhenUsed/>
    <w:qFormat/>
    <w:rsid w:val="00F73FBD"/>
    <w:pPr>
      <w:keepNext/>
      <w:widowControl w:val="0"/>
      <w:numPr>
        <w:ilvl w:val="3"/>
        <w:numId w:val="1"/>
      </w:numPr>
      <w:spacing w:before="240" w:after="60" w:line="240" w:lineRule="auto"/>
      <w:jc w:val="both"/>
      <w:outlineLvl w:val="3"/>
    </w:pPr>
    <w:rPr>
      <w:rFonts w:ascii="Times New Roman" w:eastAsia="Times New Roman" w:hAnsi="Times New Roman" w:cs="Times New Roman"/>
      <w:b/>
      <w:bCs/>
      <w:sz w:val="28"/>
      <w:szCs w:val="28"/>
      <w:lang w:eastAsia="fr-FR"/>
    </w:rPr>
  </w:style>
  <w:style w:type="paragraph" w:styleId="Titre5">
    <w:name w:val="heading 5"/>
    <w:basedOn w:val="Normal"/>
    <w:next w:val="Normal"/>
    <w:link w:val="Titre5Car"/>
    <w:semiHidden/>
    <w:unhideWhenUsed/>
    <w:qFormat/>
    <w:rsid w:val="00F73FBD"/>
    <w:pPr>
      <w:widowControl w:val="0"/>
      <w:numPr>
        <w:ilvl w:val="4"/>
        <w:numId w:val="1"/>
      </w:numPr>
      <w:spacing w:before="240" w:after="60" w:line="240" w:lineRule="auto"/>
      <w:jc w:val="both"/>
      <w:outlineLvl w:val="4"/>
    </w:pPr>
    <w:rPr>
      <w:rFonts w:ascii="Arial" w:eastAsia="Times New Roman" w:hAnsi="Arial" w:cs="Times New Roman"/>
      <w:b/>
      <w:bCs/>
      <w:i/>
      <w:iCs/>
      <w:sz w:val="26"/>
      <w:szCs w:val="26"/>
      <w:lang w:eastAsia="fr-FR"/>
    </w:rPr>
  </w:style>
  <w:style w:type="paragraph" w:styleId="Titre6">
    <w:name w:val="heading 6"/>
    <w:basedOn w:val="Normal"/>
    <w:next w:val="Normal"/>
    <w:link w:val="Titre6Car"/>
    <w:semiHidden/>
    <w:unhideWhenUsed/>
    <w:qFormat/>
    <w:rsid w:val="00F73FBD"/>
    <w:pPr>
      <w:widowControl w:val="0"/>
      <w:numPr>
        <w:ilvl w:val="5"/>
        <w:numId w:val="1"/>
      </w:numPr>
      <w:spacing w:before="240" w:after="60" w:line="240" w:lineRule="auto"/>
      <w:jc w:val="both"/>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semiHidden/>
    <w:unhideWhenUsed/>
    <w:qFormat/>
    <w:rsid w:val="00F73FBD"/>
    <w:pPr>
      <w:widowControl w:val="0"/>
      <w:numPr>
        <w:ilvl w:val="6"/>
        <w:numId w:val="1"/>
      </w:numPr>
      <w:spacing w:before="240" w:after="60" w:line="240" w:lineRule="auto"/>
      <w:jc w:val="both"/>
      <w:outlineLvl w:val="6"/>
    </w:pPr>
    <w:rPr>
      <w:rFonts w:ascii="Times New Roman" w:eastAsia="Times New Roman" w:hAnsi="Times New Roman" w:cs="Times New Roman"/>
      <w:szCs w:val="24"/>
      <w:lang w:eastAsia="fr-FR"/>
    </w:rPr>
  </w:style>
  <w:style w:type="paragraph" w:styleId="Titre8">
    <w:name w:val="heading 8"/>
    <w:basedOn w:val="Normal"/>
    <w:next w:val="Normal"/>
    <w:link w:val="Titre8Car"/>
    <w:semiHidden/>
    <w:unhideWhenUsed/>
    <w:qFormat/>
    <w:rsid w:val="00F73FBD"/>
    <w:pPr>
      <w:widowControl w:val="0"/>
      <w:numPr>
        <w:ilvl w:val="7"/>
        <w:numId w:val="1"/>
      </w:numPr>
      <w:spacing w:before="240" w:after="60" w:line="240" w:lineRule="auto"/>
      <w:jc w:val="both"/>
      <w:outlineLvl w:val="7"/>
    </w:pPr>
    <w:rPr>
      <w:rFonts w:ascii="Times New Roman" w:eastAsia="Times New Roman" w:hAnsi="Times New Roman" w:cs="Times New Roman"/>
      <w:i/>
      <w:iCs/>
      <w:szCs w:val="24"/>
      <w:lang w:eastAsia="fr-FR"/>
    </w:rPr>
  </w:style>
  <w:style w:type="paragraph" w:styleId="Titre9">
    <w:name w:val="heading 9"/>
    <w:basedOn w:val="Normal"/>
    <w:next w:val="Normal"/>
    <w:link w:val="Titre9Car"/>
    <w:semiHidden/>
    <w:unhideWhenUsed/>
    <w:qFormat/>
    <w:rsid w:val="00F73FBD"/>
    <w:pPr>
      <w:widowControl w:val="0"/>
      <w:numPr>
        <w:ilvl w:val="8"/>
        <w:numId w:val="1"/>
      </w:numPr>
      <w:spacing w:before="240" w:after="60" w:line="240" w:lineRule="auto"/>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11CDB"/>
    <w:rPr>
      <w:rFonts w:ascii="Century Gothic" w:eastAsia="Times New Roman" w:hAnsi="Century Gothic" w:cs="Arial"/>
      <w:b/>
      <w:bCs/>
      <w:caps/>
      <w:color w:val="244061" w:themeColor="accent1" w:themeShade="80"/>
      <w:sz w:val="28"/>
      <w:szCs w:val="24"/>
      <w:lang w:eastAsia="fr-FR"/>
    </w:rPr>
  </w:style>
  <w:style w:type="character" w:customStyle="1" w:styleId="Titre2Car">
    <w:name w:val="Titre 2 Car"/>
    <w:basedOn w:val="Policepardfaut"/>
    <w:link w:val="Titre2"/>
    <w:rsid w:val="00911CDB"/>
    <w:rPr>
      <w:rFonts w:ascii="Century Gothic" w:eastAsia="Times New Roman" w:hAnsi="Century Gothic" w:cs="Arial"/>
      <w:b/>
      <w:bCs/>
      <w:color w:val="244061" w:themeColor="accent1" w:themeShade="80"/>
      <w:sz w:val="26"/>
      <w:szCs w:val="28"/>
      <w:lang w:eastAsia="fr-FR"/>
    </w:rPr>
  </w:style>
  <w:style w:type="character" w:customStyle="1" w:styleId="Titre3Car">
    <w:name w:val="Titre 3 Car"/>
    <w:basedOn w:val="Policepardfaut"/>
    <w:link w:val="Titre3"/>
    <w:rsid w:val="00F73FBD"/>
    <w:rPr>
      <w:rFonts w:ascii="Arial" w:eastAsia="Times New Roman" w:hAnsi="Arial" w:cs="Arial"/>
      <w:b/>
      <w:bCs/>
      <w:i/>
      <w:sz w:val="20"/>
      <w:szCs w:val="26"/>
      <w:lang w:eastAsia="fr-FR"/>
    </w:rPr>
  </w:style>
  <w:style w:type="character" w:customStyle="1" w:styleId="Titre4Car">
    <w:name w:val="Titre 4 Car"/>
    <w:basedOn w:val="Policepardfaut"/>
    <w:link w:val="Titre4"/>
    <w:rsid w:val="00F73FBD"/>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semiHidden/>
    <w:rsid w:val="00F73FBD"/>
    <w:rPr>
      <w:rFonts w:ascii="Arial" w:eastAsia="Times New Roman" w:hAnsi="Arial" w:cs="Times New Roman"/>
      <w:b/>
      <w:bCs/>
      <w:i/>
      <w:iCs/>
      <w:sz w:val="26"/>
      <w:szCs w:val="26"/>
      <w:lang w:eastAsia="fr-FR"/>
    </w:rPr>
  </w:style>
  <w:style w:type="character" w:customStyle="1" w:styleId="Titre6Car">
    <w:name w:val="Titre 6 Car"/>
    <w:basedOn w:val="Policepardfaut"/>
    <w:link w:val="Titre6"/>
    <w:semiHidden/>
    <w:rsid w:val="00F73FBD"/>
    <w:rPr>
      <w:rFonts w:ascii="Times New Roman" w:eastAsia="Times New Roman" w:hAnsi="Times New Roman" w:cs="Times New Roman"/>
      <w:b/>
      <w:bCs/>
      <w:lang w:eastAsia="fr-FR"/>
    </w:rPr>
  </w:style>
  <w:style w:type="character" w:customStyle="1" w:styleId="Titre7Car">
    <w:name w:val="Titre 7 Car"/>
    <w:basedOn w:val="Policepardfaut"/>
    <w:link w:val="Titre7"/>
    <w:semiHidden/>
    <w:rsid w:val="00F73FBD"/>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semiHidden/>
    <w:rsid w:val="00F73FBD"/>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semiHidden/>
    <w:rsid w:val="00F73FBD"/>
    <w:rPr>
      <w:rFonts w:ascii="Arial" w:eastAsia="Times New Roman" w:hAnsi="Arial" w:cs="Arial"/>
      <w:lang w:eastAsia="fr-FR"/>
    </w:rPr>
  </w:style>
  <w:style w:type="paragraph" w:styleId="En-tte">
    <w:name w:val="header"/>
    <w:basedOn w:val="Normal"/>
    <w:link w:val="En-tteCar"/>
    <w:unhideWhenUsed/>
    <w:rsid w:val="00312E4C"/>
    <w:pPr>
      <w:tabs>
        <w:tab w:val="center" w:pos="4536"/>
        <w:tab w:val="right" w:pos="9072"/>
      </w:tabs>
      <w:spacing w:after="0" w:line="240" w:lineRule="auto"/>
    </w:pPr>
  </w:style>
  <w:style w:type="character" w:customStyle="1" w:styleId="En-tteCar">
    <w:name w:val="En-tête Car"/>
    <w:basedOn w:val="Policepardfaut"/>
    <w:link w:val="En-tte"/>
    <w:rsid w:val="00312E4C"/>
  </w:style>
  <w:style w:type="paragraph" w:styleId="Pieddepage">
    <w:name w:val="footer"/>
    <w:basedOn w:val="Normal"/>
    <w:link w:val="PieddepageCar"/>
    <w:uiPriority w:val="99"/>
    <w:unhideWhenUsed/>
    <w:rsid w:val="00312E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2E4C"/>
  </w:style>
  <w:style w:type="paragraph" w:styleId="Textedebulles">
    <w:name w:val="Balloon Text"/>
    <w:basedOn w:val="Normal"/>
    <w:link w:val="TextedebullesCar"/>
    <w:uiPriority w:val="99"/>
    <w:semiHidden/>
    <w:unhideWhenUsed/>
    <w:rsid w:val="00F73F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3FBD"/>
    <w:rPr>
      <w:rFonts w:ascii="Tahoma" w:hAnsi="Tahoma" w:cs="Tahoma"/>
      <w:sz w:val="16"/>
      <w:szCs w:val="16"/>
    </w:rPr>
  </w:style>
  <w:style w:type="paragraph" w:customStyle="1" w:styleId="Legendes">
    <w:name w:val="Legendes"/>
    <w:basedOn w:val="Normal"/>
    <w:qFormat/>
    <w:rsid w:val="008E4B8C"/>
    <w:pPr>
      <w:widowControl w:val="0"/>
      <w:spacing w:before="120" w:after="0" w:line="240" w:lineRule="auto"/>
      <w:jc w:val="center"/>
    </w:pPr>
    <w:rPr>
      <w:rFonts w:eastAsia="Times New Roman" w:cs="Arial"/>
      <w:i/>
      <w:szCs w:val="24"/>
      <w:lang w:eastAsia="fr-FR"/>
    </w:rPr>
  </w:style>
  <w:style w:type="paragraph" w:customStyle="1" w:styleId="Normaltiret">
    <w:name w:val="Normaltiret"/>
    <w:basedOn w:val="Normal"/>
    <w:qFormat/>
    <w:rsid w:val="00AE44A3"/>
    <w:pPr>
      <w:widowControl w:val="0"/>
      <w:numPr>
        <w:numId w:val="2"/>
      </w:numPr>
      <w:spacing w:before="120" w:after="0" w:line="240" w:lineRule="auto"/>
      <w:ind w:left="720"/>
      <w:jc w:val="both"/>
    </w:pPr>
    <w:rPr>
      <w:rFonts w:eastAsia="Times New Roman" w:cs="Times New Roman"/>
      <w:szCs w:val="24"/>
      <w:lang w:eastAsia="fr-FR"/>
    </w:rPr>
  </w:style>
  <w:style w:type="paragraph" w:customStyle="1" w:styleId="titreanx">
    <w:name w:val="titreanx"/>
    <w:basedOn w:val="Titre1"/>
    <w:rsid w:val="00F73FBD"/>
    <w:pPr>
      <w:numPr>
        <w:numId w:val="0"/>
      </w:numPr>
    </w:pPr>
    <w:rPr>
      <w:rFonts w:ascii="Arial" w:hAnsi="Arial"/>
    </w:rPr>
  </w:style>
  <w:style w:type="character" w:styleId="Rfrenceintense">
    <w:name w:val="Intense Reference"/>
    <w:aliases w:val="Référence"/>
    <w:uiPriority w:val="32"/>
    <w:qFormat/>
    <w:rsid w:val="00911CDB"/>
    <w:rPr>
      <w:rFonts w:ascii="Century Gothic" w:hAnsi="Century Gothic"/>
      <w:sz w:val="22"/>
      <w:lang w:val="en-GB"/>
    </w:rPr>
  </w:style>
  <w:style w:type="character" w:styleId="Marquedecommentaire">
    <w:name w:val="annotation reference"/>
    <w:basedOn w:val="Policepardfaut"/>
    <w:uiPriority w:val="99"/>
    <w:semiHidden/>
    <w:unhideWhenUsed/>
    <w:rsid w:val="00330BBB"/>
    <w:rPr>
      <w:sz w:val="16"/>
      <w:szCs w:val="16"/>
    </w:rPr>
  </w:style>
  <w:style w:type="paragraph" w:styleId="Commentaire">
    <w:name w:val="annotation text"/>
    <w:basedOn w:val="Normal"/>
    <w:link w:val="CommentaireCar"/>
    <w:uiPriority w:val="99"/>
    <w:semiHidden/>
    <w:unhideWhenUsed/>
    <w:rsid w:val="00330BBB"/>
    <w:pPr>
      <w:spacing w:line="240" w:lineRule="auto"/>
    </w:pPr>
    <w:rPr>
      <w:sz w:val="20"/>
      <w:szCs w:val="20"/>
    </w:rPr>
  </w:style>
  <w:style w:type="character" w:customStyle="1" w:styleId="CommentaireCar">
    <w:name w:val="Commentaire Car"/>
    <w:basedOn w:val="Policepardfaut"/>
    <w:link w:val="Commentaire"/>
    <w:uiPriority w:val="99"/>
    <w:semiHidden/>
    <w:rsid w:val="00330BBB"/>
    <w:rPr>
      <w:sz w:val="20"/>
      <w:szCs w:val="20"/>
    </w:rPr>
  </w:style>
  <w:style w:type="paragraph" w:styleId="Objetducommentaire">
    <w:name w:val="annotation subject"/>
    <w:basedOn w:val="Commentaire"/>
    <w:next w:val="Commentaire"/>
    <w:link w:val="ObjetducommentaireCar"/>
    <w:uiPriority w:val="99"/>
    <w:semiHidden/>
    <w:unhideWhenUsed/>
    <w:rsid w:val="00330BBB"/>
    <w:rPr>
      <w:b/>
      <w:bCs/>
    </w:rPr>
  </w:style>
  <w:style w:type="character" w:customStyle="1" w:styleId="ObjetducommentaireCar">
    <w:name w:val="Objet du commentaire Car"/>
    <w:basedOn w:val="CommentaireCar"/>
    <w:link w:val="Objetducommentaire"/>
    <w:uiPriority w:val="99"/>
    <w:semiHidden/>
    <w:rsid w:val="00330BBB"/>
    <w:rPr>
      <w:b/>
      <w:bCs/>
      <w:sz w:val="20"/>
      <w:szCs w:val="20"/>
    </w:rPr>
  </w:style>
  <w:style w:type="character" w:styleId="Lienhypertexte">
    <w:name w:val="Hyperlink"/>
    <w:basedOn w:val="Policepardfaut"/>
    <w:unhideWhenUsed/>
    <w:rsid w:val="005B5526"/>
    <w:rPr>
      <w:color w:val="0000FF" w:themeColor="hyperlink"/>
      <w:u w:val="single"/>
    </w:rPr>
  </w:style>
  <w:style w:type="paragraph" w:customStyle="1" w:styleId="Betreff">
    <w:name w:val="Betreff"/>
    <w:basedOn w:val="Normal"/>
    <w:next w:val="Normal"/>
    <w:rsid w:val="00221DA8"/>
    <w:pPr>
      <w:widowControl w:val="0"/>
      <w:autoSpaceDE w:val="0"/>
      <w:autoSpaceDN w:val="0"/>
      <w:adjustRightInd w:val="0"/>
      <w:spacing w:before="120" w:after="120" w:line="240" w:lineRule="auto"/>
      <w:ind w:right="107"/>
      <w:jc w:val="both"/>
    </w:pPr>
    <w:rPr>
      <w:rFonts w:ascii="Arial" w:eastAsia="Times New Roman" w:hAnsi="Arial" w:cstheme="majorHAnsi"/>
      <w:b/>
      <w:sz w:val="20"/>
      <w:lang w:eastAsia="de-DE"/>
    </w:rPr>
  </w:style>
  <w:style w:type="paragraph" w:customStyle="1" w:styleId="Bullets">
    <w:name w:val="Bullets"/>
    <w:basedOn w:val="Normal"/>
    <w:link w:val="BulletsChar"/>
    <w:rsid w:val="00221DA8"/>
    <w:pPr>
      <w:widowControl w:val="0"/>
      <w:numPr>
        <w:numId w:val="3"/>
      </w:numPr>
      <w:autoSpaceDE w:val="0"/>
      <w:autoSpaceDN w:val="0"/>
      <w:adjustRightInd w:val="0"/>
      <w:spacing w:before="120" w:after="120" w:line="240" w:lineRule="auto"/>
      <w:ind w:right="107"/>
      <w:jc w:val="both"/>
    </w:pPr>
    <w:rPr>
      <w:rFonts w:ascii="Arial" w:eastAsia="Times New Roman" w:hAnsi="Arial" w:cstheme="majorHAnsi"/>
      <w:sz w:val="20"/>
      <w:lang w:eastAsia="de-DE"/>
    </w:rPr>
  </w:style>
  <w:style w:type="character" w:customStyle="1" w:styleId="BulletsChar">
    <w:name w:val="Bullets Char"/>
    <w:link w:val="Bullets"/>
    <w:rsid w:val="00221DA8"/>
    <w:rPr>
      <w:rFonts w:ascii="Arial" w:eastAsia="Times New Roman" w:hAnsi="Arial" w:cstheme="majorHAnsi"/>
      <w:sz w:val="20"/>
      <w:lang w:eastAsia="de-DE"/>
    </w:rPr>
  </w:style>
  <w:style w:type="table" w:customStyle="1" w:styleId="Copernicus">
    <w:name w:val="Copernicus"/>
    <w:basedOn w:val="TableauNormal"/>
    <w:rsid w:val="00221DA8"/>
    <w:pPr>
      <w:spacing w:after="0" w:line="240" w:lineRule="auto"/>
    </w:pPr>
    <w:rPr>
      <w:rFonts w:ascii="Verdana" w:eastAsia="Times New Roman" w:hAnsi="Verdana" w:cs="Times New Roman"/>
      <w:sz w:val="19"/>
      <w:szCs w:val="20"/>
      <w:lang w:val="en-GB" w:eastAsia="en-GB"/>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customStyle="1" w:styleId="Kontakt">
    <w:name w:val="Kontakt"/>
    <w:basedOn w:val="Normal"/>
    <w:rsid w:val="00221DA8"/>
    <w:pPr>
      <w:widowControl w:val="0"/>
      <w:autoSpaceDE w:val="0"/>
      <w:autoSpaceDN w:val="0"/>
      <w:adjustRightInd w:val="0"/>
      <w:spacing w:before="120" w:after="120" w:line="160" w:lineRule="exact"/>
      <w:ind w:right="107"/>
      <w:jc w:val="both"/>
    </w:pPr>
    <w:rPr>
      <w:rFonts w:ascii="Arial" w:eastAsia="Times New Roman" w:hAnsi="Arial" w:cstheme="majorHAnsi"/>
      <w:color w:val="808080"/>
      <w:sz w:val="13"/>
      <w:lang w:eastAsia="de-DE"/>
    </w:rPr>
  </w:style>
  <w:style w:type="paragraph" w:customStyle="1" w:styleId="Name">
    <w:name w:val="Name"/>
    <w:basedOn w:val="Normal"/>
    <w:rsid w:val="00221DA8"/>
    <w:pPr>
      <w:widowControl w:val="0"/>
      <w:autoSpaceDE w:val="0"/>
      <w:autoSpaceDN w:val="0"/>
      <w:adjustRightInd w:val="0"/>
      <w:spacing w:before="160" w:after="80" w:line="240" w:lineRule="auto"/>
      <w:ind w:right="107"/>
      <w:jc w:val="both"/>
    </w:pPr>
    <w:rPr>
      <w:rFonts w:ascii="Book Antiqua" w:eastAsia="Times New Roman" w:hAnsi="Book Antiqua" w:cstheme="majorHAnsi"/>
      <w:color w:val="808080"/>
      <w:sz w:val="20"/>
      <w:lang w:eastAsia="de-DE"/>
    </w:rPr>
  </w:style>
  <w:style w:type="paragraph" w:customStyle="1" w:styleId="CopernicusWordtemplate">
    <w:name w:val="Copernicus_Word_template"/>
    <w:basedOn w:val="Normal"/>
    <w:link w:val="CopernicusWordtemplateChar"/>
    <w:rsid w:val="00221DA8"/>
    <w:pPr>
      <w:widowControl w:val="0"/>
      <w:autoSpaceDE w:val="0"/>
      <w:autoSpaceDN w:val="0"/>
      <w:adjustRightInd w:val="0"/>
      <w:spacing w:before="120" w:after="120" w:line="240" w:lineRule="auto"/>
      <w:ind w:right="107"/>
      <w:jc w:val="both"/>
    </w:pPr>
    <w:rPr>
      <w:rFonts w:ascii="Arial" w:eastAsia="Times New Roman" w:hAnsi="Arial" w:cstheme="majorHAnsi"/>
      <w:sz w:val="20"/>
      <w:lang w:eastAsia="de-DE"/>
    </w:rPr>
  </w:style>
  <w:style w:type="character" w:customStyle="1" w:styleId="CopernicusWordtemplateChar">
    <w:name w:val="Copernicus_Word_template Char"/>
    <w:basedOn w:val="Policepardfaut"/>
    <w:link w:val="CopernicusWordtemplate"/>
    <w:rsid w:val="00221DA8"/>
    <w:rPr>
      <w:rFonts w:ascii="Arial" w:eastAsia="Times New Roman" w:hAnsi="Arial" w:cstheme="majorHAnsi"/>
      <w:sz w:val="20"/>
      <w:lang w:eastAsia="de-DE"/>
    </w:rPr>
  </w:style>
  <w:style w:type="paragraph" w:customStyle="1" w:styleId="MStitle">
    <w:name w:val="MS title"/>
    <w:basedOn w:val="Normal"/>
    <w:link w:val="MStitleChar"/>
    <w:qFormat/>
    <w:rsid w:val="00221DA8"/>
    <w:pPr>
      <w:widowControl w:val="0"/>
      <w:autoSpaceDE w:val="0"/>
      <w:autoSpaceDN w:val="0"/>
      <w:adjustRightInd w:val="0"/>
      <w:spacing w:before="240" w:after="240" w:line="440" w:lineRule="exact"/>
      <w:ind w:right="108"/>
      <w:contextualSpacing/>
      <w:jc w:val="both"/>
    </w:pPr>
    <w:rPr>
      <w:rFonts w:ascii="Arial Gras" w:eastAsia="Times New Roman" w:hAnsi="Arial Gras" w:cs="Arial"/>
      <w:b/>
      <w:color w:val="76923C" w:themeColor="accent3" w:themeShade="BF"/>
      <w:sz w:val="28"/>
      <w:lang w:eastAsia="de-DE"/>
    </w:rPr>
  </w:style>
  <w:style w:type="character" w:customStyle="1" w:styleId="MStitleChar">
    <w:name w:val="MS title Char"/>
    <w:basedOn w:val="Policepardfaut"/>
    <w:link w:val="MStitle"/>
    <w:rsid w:val="00221DA8"/>
    <w:rPr>
      <w:rFonts w:ascii="Arial Gras" w:eastAsia="Times New Roman" w:hAnsi="Arial Gras" w:cs="Arial"/>
      <w:b/>
      <w:color w:val="76923C" w:themeColor="accent3" w:themeShade="BF"/>
      <w:sz w:val="28"/>
      <w:lang w:eastAsia="de-DE"/>
    </w:rPr>
  </w:style>
  <w:style w:type="paragraph" w:styleId="Paragraphedeliste">
    <w:name w:val="List Paragraph"/>
    <w:basedOn w:val="Normal"/>
    <w:uiPriority w:val="34"/>
    <w:rsid w:val="00221DA8"/>
    <w:pPr>
      <w:widowControl w:val="0"/>
      <w:autoSpaceDE w:val="0"/>
      <w:autoSpaceDN w:val="0"/>
      <w:adjustRightInd w:val="0"/>
      <w:spacing w:before="120" w:after="120" w:line="240" w:lineRule="auto"/>
      <w:ind w:left="720" w:right="107"/>
      <w:contextualSpacing/>
      <w:jc w:val="both"/>
    </w:pPr>
    <w:rPr>
      <w:rFonts w:ascii="Arial" w:eastAsia="Times New Roman" w:hAnsi="Arial" w:cstheme="majorHAnsi"/>
      <w:sz w:val="20"/>
      <w:lang w:eastAsia="de-DE"/>
    </w:rPr>
  </w:style>
  <w:style w:type="paragraph" w:customStyle="1" w:styleId="Affiliation">
    <w:name w:val="Affiliation"/>
    <w:basedOn w:val="Normal"/>
    <w:link w:val="AffiliationChar"/>
    <w:qFormat/>
    <w:rsid w:val="00221DA8"/>
    <w:pPr>
      <w:widowControl w:val="0"/>
      <w:autoSpaceDE w:val="0"/>
      <w:autoSpaceDN w:val="0"/>
      <w:adjustRightInd w:val="0"/>
      <w:spacing w:before="120" w:after="120" w:line="240" w:lineRule="auto"/>
      <w:ind w:right="107"/>
      <w:contextualSpacing/>
      <w:jc w:val="both"/>
    </w:pPr>
    <w:rPr>
      <w:rFonts w:ascii="Arial" w:eastAsia="Times New Roman" w:hAnsi="Arial" w:cstheme="majorHAnsi"/>
      <w:sz w:val="20"/>
      <w:lang w:eastAsia="de-DE"/>
    </w:rPr>
  </w:style>
  <w:style w:type="character" w:customStyle="1" w:styleId="AffiliationChar">
    <w:name w:val="Affiliation Char"/>
    <w:basedOn w:val="Policepardfaut"/>
    <w:link w:val="Affiliation"/>
    <w:rsid w:val="00221DA8"/>
    <w:rPr>
      <w:rFonts w:ascii="Arial" w:eastAsia="Times New Roman" w:hAnsi="Arial" w:cstheme="majorHAnsi"/>
      <w:sz w:val="20"/>
      <w:lang w:eastAsia="de-DE"/>
    </w:rPr>
  </w:style>
  <w:style w:type="paragraph" w:customStyle="1" w:styleId="Equation">
    <w:name w:val="Equation"/>
    <w:basedOn w:val="Normal"/>
    <w:link w:val="EquationChar"/>
    <w:rsid w:val="00221DA8"/>
    <w:pPr>
      <w:widowControl w:val="0"/>
      <w:autoSpaceDE w:val="0"/>
      <w:autoSpaceDN w:val="0"/>
      <w:adjustRightInd w:val="0"/>
      <w:spacing w:before="120" w:after="120" w:line="240" w:lineRule="auto"/>
      <w:ind w:right="107"/>
      <w:jc w:val="both"/>
    </w:pPr>
    <w:rPr>
      <w:rFonts w:ascii="Cambria Math" w:eastAsia="Times New Roman" w:hAnsi="Cambria Math" w:cstheme="majorHAnsi"/>
      <w:sz w:val="20"/>
      <w:lang w:eastAsia="de-DE"/>
    </w:rPr>
  </w:style>
  <w:style w:type="character" w:customStyle="1" w:styleId="EquationChar">
    <w:name w:val="Equation Char"/>
    <w:basedOn w:val="Policepardfaut"/>
    <w:link w:val="Equation"/>
    <w:rsid w:val="00221DA8"/>
    <w:rPr>
      <w:rFonts w:ascii="Cambria Math" w:eastAsia="Times New Roman" w:hAnsi="Cambria Math" w:cstheme="majorHAnsi"/>
      <w:sz w:val="20"/>
      <w:lang w:eastAsia="de-DE"/>
    </w:rPr>
  </w:style>
  <w:style w:type="paragraph" w:styleId="Lgende">
    <w:name w:val="caption"/>
    <w:basedOn w:val="Normal"/>
    <w:next w:val="Normal"/>
    <w:uiPriority w:val="35"/>
    <w:unhideWhenUsed/>
    <w:qFormat/>
    <w:rsid w:val="00221DA8"/>
    <w:pPr>
      <w:widowControl w:val="0"/>
      <w:autoSpaceDE w:val="0"/>
      <w:autoSpaceDN w:val="0"/>
      <w:adjustRightInd w:val="0"/>
      <w:spacing w:before="120" w:line="240" w:lineRule="auto"/>
      <w:ind w:right="107"/>
      <w:jc w:val="both"/>
    </w:pPr>
    <w:rPr>
      <w:rFonts w:ascii="Arial" w:eastAsia="Times New Roman" w:hAnsi="Arial" w:cstheme="majorHAnsi"/>
      <w:b/>
      <w:bCs/>
      <w:sz w:val="18"/>
      <w:szCs w:val="18"/>
      <w:lang w:eastAsia="de-DE"/>
    </w:rPr>
  </w:style>
  <w:style w:type="paragraph" w:customStyle="1" w:styleId="Correspondence">
    <w:name w:val="Correspondence"/>
    <w:basedOn w:val="Normal"/>
    <w:link w:val="CorrespondenceChar"/>
    <w:qFormat/>
    <w:rsid w:val="00221DA8"/>
    <w:pPr>
      <w:widowControl w:val="0"/>
      <w:autoSpaceDE w:val="0"/>
      <w:autoSpaceDN w:val="0"/>
      <w:adjustRightInd w:val="0"/>
      <w:spacing w:before="120" w:after="360" w:line="240" w:lineRule="auto"/>
      <w:ind w:right="107"/>
      <w:jc w:val="both"/>
    </w:pPr>
    <w:rPr>
      <w:rFonts w:ascii="Arial" w:eastAsia="Times New Roman" w:hAnsi="Arial" w:cstheme="majorHAnsi"/>
      <w:sz w:val="20"/>
      <w:lang w:eastAsia="de-DE"/>
    </w:rPr>
  </w:style>
  <w:style w:type="character" w:customStyle="1" w:styleId="CorrespondenceChar">
    <w:name w:val="Correspondence Char"/>
    <w:basedOn w:val="Policepardfaut"/>
    <w:link w:val="Correspondence"/>
    <w:rsid w:val="00221DA8"/>
    <w:rPr>
      <w:rFonts w:ascii="Arial" w:eastAsia="Times New Roman" w:hAnsi="Arial" w:cstheme="majorHAnsi"/>
      <w:sz w:val="20"/>
      <w:lang w:eastAsia="de-DE"/>
    </w:rPr>
  </w:style>
  <w:style w:type="paragraph" w:customStyle="1" w:styleId="Authors">
    <w:name w:val="Authors"/>
    <w:basedOn w:val="Normal"/>
    <w:link w:val="AuthorsChar"/>
    <w:qFormat/>
    <w:rsid w:val="00221DA8"/>
    <w:pPr>
      <w:widowControl w:val="0"/>
      <w:autoSpaceDE w:val="0"/>
      <w:autoSpaceDN w:val="0"/>
      <w:adjustRightInd w:val="0"/>
      <w:spacing w:before="180" w:after="120" w:line="240" w:lineRule="auto"/>
      <w:ind w:right="107"/>
      <w:contextualSpacing/>
      <w:jc w:val="both"/>
    </w:pPr>
    <w:rPr>
      <w:rFonts w:ascii="Arial" w:eastAsia="Times New Roman" w:hAnsi="Arial" w:cstheme="majorHAnsi"/>
      <w:sz w:val="24"/>
      <w:lang w:eastAsia="de-DE"/>
    </w:rPr>
  </w:style>
  <w:style w:type="character" w:customStyle="1" w:styleId="AuthorsChar">
    <w:name w:val="Authors Char"/>
    <w:basedOn w:val="Policepardfaut"/>
    <w:link w:val="Authors"/>
    <w:rsid w:val="00221DA8"/>
    <w:rPr>
      <w:rFonts w:ascii="Arial" w:eastAsia="Times New Roman" w:hAnsi="Arial" w:cstheme="majorHAnsi"/>
      <w:sz w:val="24"/>
      <w:lang w:eastAsia="de-DE"/>
    </w:rPr>
  </w:style>
  <w:style w:type="character" w:styleId="lev">
    <w:name w:val="Strong"/>
    <w:basedOn w:val="Policepardfaut"/>
    <w:uiPriority w:val="22"/>
    <w:qFormat/>
    <w:rsid w:val="00221DA8"/>
    <w:rPr>
      <w:b/>
      <w:bCs/>
    </w:rPr>
  </w:style>
  <w:style w:type="paragraph" w:styleId="Citationintense">
    <w:name w:val="Intense Quote"/>
    <w:basedOn w:val="Normal"/>
    <w:next w:val="Normal"/>
    <w:link w:val="CitationintenseCar"/>
    <w:uiPriority w:val="30"/>
    <w:qFormat/>
    <w:rsid w:val="00221DA8"/>
    <w:pPr>
      <w:widowControl w:val="0"/>
      <w:pBdr>
        <w:top w:val="single" w:sz="4" w:space="10" w:color="4F81BD" w:themeColor="accent1"/>
        <w:bottom w:val="single" w:sz="4" w:space="10" w:color="4F81BD" w:themeColor="accent1"/>
      </w:pBdr>
      <w:autoSpaceDE w:val="0"/>
      <w:autoSpaceDN w:val="0"/>
      <w:adjustRightInd w:val="0"/>
      <w:spacing w:before="120" w:after="120" w:line="300" w:lineRule="auto"/>
      <w:ind w:right="108"/>
    </w:pPr>
    <w:rPr>
      <w:rFonts w:asciiTheme="minorHAnsi" w:hAnsiTheme="minorHAnsi"/>
      <w:i/>
      <w:iCs/>
      <w:color w:val="4F81BD" w:themeColor="accent1"/>
      <w:sz w:val="26"/>
      <w:szCs w:val="26"/>
    </w:rPr>
  </w:style>
  <w:style w:type="character" w:customStyle="1" w:styleId="CitationintenseCar">
    <w:name w:val="Citation intense Car"/>
    <w:basedOn w:val="Policepardfaut"/>
    <w:link w:val="Citationintense"/>
    <w:uiPriority w:val="30"/>
    <w:rsid w:val="00221DA8"/>
    <w:rPr>
      <w:i/>
      <w:iCs/>
      <w:color w:val="4F81BD" w:themeColor="accent1"/>
      <w:sz w:val="26"/>
      <w:szCs w:val="26"/>
    </w:rPr>
  </w:style>
  <w:style w:type="character" w:customStyle="1" w:styleId="ilfuvd">
    <w:name w:val="ilfuvd"/>
    <w:basedOn w:val="Policepardfaut"/>
    <w:rsid w:val="00221DA8"/>
  </w:style>
  <w:style w:type="character" w:customStyle="1" w:styleId="ExplorateurdedocumentsCar">
    <w:name w:val="Explorateur de documents Car"/>
    <w:basedOn w:val="Policepardfaut"/>
    <w:link w:val="Explorateurdedocuments"/>
    <w:uiPriority w:val="99"/>
    <w:semiHidden/>
    <w:rsid w:val="00221DA8"/>
    <w:rPr>
      <w:rFonts w:ascii="Tahoma" w:eastAsia="Times New Roman" w:hAnsi="Tahoma" w:cs="Tahoma"/>
      <w:sz w:val="16"/>
      <w:szCs w:val="16"/>
      <w:lang w:eastAsia="de-DE"/>
    </w:rPr>
  </w:style>
  <w:style w:type="paragraph" w:styleId="Explorateurdedocuments">
    <w:name w:val="Document Map"/>
    <w:basedOn w:val="Normal"/>
    <w:link w:val="ExplorateurdedocumentsCar"/>
    <w:uiPriority w:val="99"/>
    <w:semiHidden/>
    <w:unhideWhenUsed/>
    <w:rsid w:val="00221DA8"/>
    <w:pPr>
      <w:widowControl w:val="0"/>
      <w:autoSpaceDE w:val="0"/>
      <w:autoSpaceDN w:val="0"/>
      <w:adjustRightInd w:val="0"/>
      <w:spacing w:before="120" w:after="120" w:line="240" w:lineRule="auto"/>
      <w:ind w:right="107"/>
      <w:jc w:val="both"/>
    </w:pPr>
    <w:rPr>
      <w:rFonts w:ascii="Tahoma" w:eastAsia="Times New Roman" w:hAnsi="Tahoma" w:cs="Tahoma"/>
      <w:sz w:val="16"/>
      <w:szCs w:val="16"/>
      <w:lang w:eastAsia="de-DE"/>
    </w:rPr>
  </w:style>
  <w:style w:type="paragraph" w:styleId="Notedebasdepage">
    <w:name w:val="footnote text"/>
    <w:basedOn w:val="Normal"/>
    <w:link w:val="NotedebasdepageCar"/>
    <w:uiPriority w:val="99"/>
    <w:semiHidden/>
    <w:unhideWhenUsed/>
    <w:rsid w:val="003B169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169B"/>
    <w:rPr>
      <w:rFonts w:ascii="Century Gothic" w:hAnsi="Century Gothic"/>
      <w:sz w:val="20"/>
      <w:szCs w:val="20"/>
    </w:rPr>
  </w:style>
  <w:style w:type="character" w:styleId="Appelnotedebasdep">
    <w:name w:val="footnote reference"/>
    <w:basedOn w:val="Policepardfaut"/>
    <w:uiPriority w:val="99"/>
    <w:semiHidden/>
    <w:unhideWhenUsed/>
    <w:rsid w:val="003B169B"/>
    <w:rPr>
      <w:vertAlign w:val="superscript"/>
    </w:rPr>
  </w:style>
  <w:style w:type="paragraph" w:styleId="Bibliographie">
    <w:name w:val="Bibliography"/>
    <w:basedOn w:val="Normal"/>
    <w:next w:val="Normal"/>
    <w:uiPriority w:val="37"/>
    <w:unhideWhenUsed/>
    <w:rsid w:val="0087600F"/>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496245">
      <w:bodyDiv w:val="1"/>
      <w:marLeft w:val="0"/>
      <w:marRight w:val="0"/>
      <w:marTop w:val="0"/>
      <w:marBottom w:val="0"/>
      <w:divBdr>
        <w:top w:val="none" w:sz="0" w:space="0" w:color="auto"/>
        <w:left w:val="none" w:sz="0" w:space="0" w:color="auto"/>
        <w:bottom w:val="none" w:sz="0" w:space="0" w:color="auto"/>
        <w:right w:val="none" w:sz="0" w:space="0" w:color="auto"/>
      </w:divBdr>
    </w:div>
    <w:div w:id="21236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sagencesdeleau.f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brice.mourier@entpe.fr" TargetMode="External"/><Relationship Id="rId4" Type="http://schemas.microsoft.com/office/2007/relationships/stylesWithEffects" Target="stylesWithEffects.xml"/><Relationship Id="rId9" Type="http://schemas.openxmlformats.org/officeDocument/2006/relationships/hyperlink" Target="mailto:andre-marie.dendievel@entpe.fr"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DDD1F-E123-4FC4-A1B3-6BBD58A5A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4096</Words>
  <Characters>22532</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26575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Editors</dc:creator>
  <cp:lastModifiedBy>BUISSON André</cp:lastModifiedBy>
  <cp:revision>10</cp:revision>
  <cp:lastPrinted>2019-05-28T10:57:00Z</cp:lastPrinted>
  <dcterms:created xsi:type="dcterms:W3CDTF">2019-03-27T16:16:00Z</dcterms:created>
  <dcterms:modified xsi:type="dcterms:W3CDTF">2019-06-24T08:08:00Z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zotero-version="5.0.62"&gt;&lt;session id="1UHplvNg"/&gt;&lt;style id="http://www.zotero.org/styles/quaternary-international" hasBibliography="1" bibliographyStyleHasBeenSet="1"/&gt;&lt;prefs&gt;&lt;pref name="fieldType" value="Field"/&gt;&lt;/prefs&gt;&lt;/data&gt;</vt:lpwstr>
  </property>
</Properties>
</file>